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ECBE4" w14:textId="77777777" w:rsidR="0096694C" w:rsidRDefault="0096694C" w:rsidP="0096694C">
      <w:pPr>
        <w:pStyle w:val="Title"/>
      </w:pPr>
      <w:r>
        <w:t>City of Albuquerque Metropolitan</w:t>
      </w:r>
      <w:r>
        <w:rPr>
          <w:spacing w:val="-7"/>
        </w:rPr>
        <w:t xml:space="preserve"> </w:t>
      </w:r>
      <w:r>
        <w:t>Redevelopment</w:t>
      </w:r>
      <w:r>
        <w:rPr>
          <w:spacing w:val="-12"/>
        </w:rPr>
        <w:t xml:space="preserve"> </w:t>
      </w:r>
      <w:r>
        <w:t>Agency</w:t>
      </w:r>
    </w:p>
    <w:p w14:paraId="5A60D533" w14:textId="77777777" w:rsidR="0096694C" w:rsidRDefault="0096694C" w:rsidP="0096694C">
      <w:pPr>
        <w:pStyle w:val="BodyText"/>
        <w:ind w:left="3180"/>
        <w:rPr>
          <w:rFonts w:ascii="Roboto Slab"/>
          <w:sz w:val="20"/>
        </w:rPr>
      </w:pPr>
      <w:r>
        <w:rPr>
          <w:rFonts w:ascii="Roboto Slab"/>
          <w:noProof/>
          <w:sz w:val="20"/>
        </w:rPr>
        <w:drawing>
          <wp:inline distT="0" distB="0" distL="0" distR="0" wp14:anchorId="00A0F564" wp14:editId="39F2B6A6">
            <wp:extent cx="1889395" cy="88877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889395" cy="888777"/>
                    </a:xfrm>
                    <a:prstGeom prst="rect">
                      <a:avLst/>
                    </a:prstGeom>
                  </pic:spPr>
                </pic:pic>
              </a:graphicData>
            </a:graphic>
          </wp:inline>
        </w:drawing>
      </w:r>
    </w:p>
    <w:p w14:paraId="73FB1956" w14:textId="77777777" w:rsidR="00CF77C5" w:rsidRPr="00CF77C5" w:rsidRDefault="00CF77C5" w:rsidP="0096694C">
      <w:pPr>
        <w:spacing w:before="11"/>
        <w:ind w:left="2386" w:right="2386"/>
        <w:jc w:val="center"/>
        <w:rPr>
          <w:rFonts w:ascii="Roboto Slab"/>
          <w:b/>
          <w:sz w:val="24"/>
          <w:szCs w:val="24"/>
        </w:rPr>
      </w:pPr>
      <w:r w:rsidRPr="00CF77C5">
        <w:rPr>
          <w:rFonts w:ascii="Roboto Slab"/>
          <w:b/>
          <w:sz w:val="24"/>
          <w:szCs w:val="24"/>
        </w:rPr>
        <w:t>Redevelopment Services</w:t>
      </w:r>
    </w:p>
    <w:p w14:paraId="4FDFEA88" w14:textId="2FA2A862" w:rsidR="0096694C" w:rsidRPr="00CF77C5" w:rsidRDefault="0096694C" w:rsidP="0096694C">
      <w:pPr>
        <w:spacing w:before="11"/>
        <w:ind w:left="2386" w:right="2386"/>
        <w:jc w:val="center"/>
        <w:rPr>
          <w:rFonts w:ascii="Roboto Slab"/>
          <w:b/>
          <w:sz w:val="24"/>
          <w:szCs w:val="24"/>
        </w:rPr>
      </w:pPr>
      <w:r w:rsidRPr="00CF77C5">
        <w:rPr>
          <w:rFonts w:ascii="Roboto Slab"/>
          <w:b/>
          <w:sz w:val="24"/>
          <w:szCs w:val="24"/>
        </w:rPr>
        <w:t>RFP #0</w:t>
      </w:r>
      <w:r w:rsidR="00CF77C5" w:rsidRPr="00CF77C5">
        <w:rPr>
          <w:rFonts w:ascii="Roboto Slab"/>
          <w:b/>
          <w:sz w:val="24"/>
          <w:szCs w:val="24"/>
        </w:rPr>
        <w:t>1</w:t>
      </w:r>
      <w:r w:rsidRPr="00CF77C5">
        <w:rPr>
          <w:rFonts w:ascii="Roboto Slab"/>
          <w:b/>
          <w:sz w:val="24"/>
          <w:szCs w:val="24"/>
        </w:rPr>
        <w:t>-202</w:t>
      </w:r>
      <w:r w:rsidR="00CF77C5" w:rsidRPr="00CF77C5">
        <w:rPr>
          <w:rFonts w:ascii="Roboto Slab"/>
          <w:b/>
          <w:sz w:val="24"/>
          <w:szCs w:val="24"/>
        </w:rPr>
        <w:t>6</w:t>
      </w:r>
    </w:p>
    <w:p w14:paraId="5C35378D" w14:textId="2A0E7F06" w:rsidR="0096694C" w:rsidRPr="00CF77C5" w:rsidRDefault="0096694C" w:rsidP="0096694C">
      <w:pPr>
        <w:ind w:left="2386" w:right="2386"/>
        <w:jc w:val="center"/>
        <w:rPr>
          <w:rFonts w:ascii="Roboto Slab"/>
          <w:b/>
          <w:spacing w:val="-4"/>
          <w:sz w:val="24"/>
          <w:szCs w:val="24"/>
        </w:rPr>
      </w:pPr>
      <w:r w:rsidRPr="00CF77C5">
        <w:rPr>
          <w:rFonts w:ascii="Roboto Slab"/>
          <w:b/>
          <w:sz w:val="24"/>
          <w:szCs w:val="24"/>
        </w:rPr>
        <w:t>Posted</w:t>
      </w:r>
      <w:r w:rsidRPr="00CF77C5">
        <w:rPr>
          <w:rFonts w:ascii="Roboto Slab"/>
          <w:b/>
          <w:spacing w:val="-3"/>
          <w:sz w:val="24"/>
          <w:szCs w:val="24"/>
        </w:rPr>
        <w:t xml:space="preserve"> </w:t>
      </w:r>
      <w:r w:rsidR="00CF77C5" w:rsidRPr="00CF77C5">
        <w:rPr>
          <w:rFonts w:ascii="Roboto Slab"/>
          <w:b/>
          <w:spacing w:val="-3"/>
          <w:sz w:val="24"/>
          <w:szCs w:val="24"/>
        </w:rPr>
        <w:t>March 11</w:t>
      </w:r>
      <w:r w:rsidRPr="00CF77C5">
        <w:rPr>
          <w:rFonts w:ascii="Roboto Slab"/>
          <w:b/>
          <w:spacing w:val="-3"/>
          <w:sz w:val="24"/>
          <w:szCs w:val="24"/>
        </w:rPr>
        <w:t>, 202</w:t>
      </w:r>
      <w:r w:rsidR="00CF77C5" w:rsidRPr="00CF77C5">
        <w:rPr>
          <w:rFonts w:ascii="Roboto Slab"/>
          <w:b/>
          <w:spacing w:val="-3"/>
          <w:sz w:val="24"/>
          <w:szCs w:val="24"/>
        </w:rPr>
        <w:t>6</w:t>
      </w:r>
    </w:p>
    <w:p w14:paraId="6FC98698" w14:textId="1E7F0E93" w:rsidR="0096694C" w:rsidRDefault="0096694C" w:rsidP="0096694C">
      <w:pPr>
        <w:rPr>
          <w:rFonts w:asciiTheme="minorHAnsi" w:eastAsia="Times New Roman" w:hAnsiTheme="minorHAnsi" w:cstheme="minorHAnsi"/>
          <w:b/>
          <w:bCs/>
          <w:color w:val="000000"/>
          <w:sz w:val="24"/>
          <w:szCs w:val="24"/>
        </w:rPr>
      </w:pPr>
    </w:p>
    <w:p w14:paraId="0B5ECCC3" w14:textId="7B7748F7" w:rsidR="00634746" w:rsidRPr="00CF77C5" w:rsidRDefault="00634746" w:rsidP="0096694C">
      <w:pPr>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Inquiry Response 1.</w:t>
      </w:r>
    </w:p>
    <w:p w14:paraId="4CA0AFA3" w14:textId="77777777" w:rsidR="0096694C" w:rsidRPr="00CF77C5" w:rsidRDefault="0096694C" w:rsidP="0096694C">
      <w:pPr>
        <w:rPr>
          <w:rFonts w:asciiTheme="minorHAnsi" w:eastAsia="Times New Roman" w:hAnsiTheme="minorHAnsi" w:cstheme="minorHAnsi"/>
          <w:b/>
          <w:bCs/>
          <w:color w:val="000000"/>
          <w:sz w:val="24"/>
          <w:szCs w:val="24"/>
        </w:rPr>
      </w:pPr>
    </w:p>
    <w:p w14:paraId="353B8DDC" w14:textId="1624FC32" w:rsidR="0096694C" w:rsidRPr="00CF77C5" w:rsidRDefault="0096694C" w:rsidP="0096694C">
      <w:pPr>
        <w:rPr>
          <w:rFonts w:asciiTheme="minorHAnsi" w:eastAsia="Times New Roman" w:hAnsiTheme="minorHAnsi" w:cstheme="minorHAnsi"/>
          <w:b/>
          <w:bCs/>
          <w:color w:val="000000"/>
          <w:sz w:val="24"/>
          <w:szCs w:val="24"/>
        </w:rPr>
      </w:pPr>
      <w:r w:rsidRPr="00CF77C5">
        <w:rPr>
          <w:rFonts w:asciiTheme="minorHAnsi" w:eastAsia="Times New Roman" w:hAnsiTheme="minorHAnsi" w:cstheme="minorHAnsi"/>
          <w:b/>
          <w:bCs/>
          <w:color w:val="000000"/>
          <w:sz w:val="24"/>
          <w:szCs w:val="24"/>
        </w:rPr>
        <w:t xml:space="preserve">Question: </w:t>
      </w:r>
      <w:r w:rsidRPr="00CF77C5">
        <w:rPr>
          <w:rFonts w:asciiTheme="minorHAnsi" w:eastAsia="Times New Roman" w:hAnsiTheme="minorHAnsi" w:cstheme="minorHAnsi"/>
          <w:color w:val="000000"/>
          <w:sz w:val="24"/>
          <w:szCs w:val="24"/>
        </w:rPr>
        <w:t>The RFP states that the City intends to award contracts to one or multiple vendors for each capability area, and that Offerors may elect to provide evidence of experience in one or multiple areas. Could you please confirm if an Offeror is permitted to submit a proposal for a single service area, or a specific group of service areas, rather than being required to provide a proposal for all seven categories listed in the Scope of Services?</w:t>
      </w:r>
    </w:p>
    <w:p w14:paraId="659C1318" w14:textId="09C57372" w:rsidR="00C24BD0" w:rsidRPr="00CF77C5" w:rsidRDefault="00C24BD0">
      <w:pPr>
        <w:rPr>
          <w:sz w:val="24"/>
          <w:szCs w:val="24"/>
        </w:rPr>
      </w:pPr>
    </w:p>
    <w:p w14:paraId="76EA99A1" w14:textId="25CE6EA4" w:rsidR="0096694C" w:rsidRDefault="0096694C">
      <w:pPr>
        <w:rPr>
          <w:sz w:val="24"/>
          <w:szCs w:val="24"/>
        </w:rPr>
      </w:pPr>
      <w:r w:rsidRPr="00CF77C5">
        <w:rPr>
          <w:b/>
          <w:bCs/>
          <w:sz w:val="24"/>
          <w:szCs w:val="24"/>
        </w:rPr>
        <w:t xml:space="preserve">Response: </w:t>
      </w:r>
      <w:r w:rsidR="00CF77C5">
        <w:rPr>
          <w:sz w:val="24"/>
          <w:szCs w:val="24"/>
        </w:rPr>
        <w:t>A</w:t>
      </w:r>
      <w:r w:rsidRPr="00CF77C5">
        <w:rPr>
          <w:sz w:val="24"/>
          <w:szCs w:val="24"/>
        </w:rPr>
        <w:t xml:space="preserve">n Offeror should only respond to the capability area(s) for which it has demonstrable expertise. There is no advantage to </w:t>
      </w:r>
      <w:r w:rsidR="00634746">
        <w:rPr>
          <w:sz w:val="24"/>
          <w:szCs w:val="24"/>
        </w:rPr>
        <w:t>attempting</w:t>
      </w:r>
      <w:r w:rsidRPr="00CF77C5">
        <w:rPr>
          <w:sz w:val="24"/>
          <w:szCs w:val="24"/>
        </w:rPr>
        <w:t xml:space="preserve"> to respond to all capability areas. The MRA is </w:t>
      </w:r>
      <w:r w:rsidRPr="00CF77C5">
        <w:rPr>
          <w:sz w:val="24"/>
          <w:szCs w:val="24"/>
        </w:rPr>
        <w:t xml:space="preserve">seeking qualified </w:t>
      </w:r>
      <w:r w:rsidRPr="00CF77C5">
        <w:rPr>
          <w:sz w:val="24"/>
          <w:szCs w:val="24"/>
        </w:rPr>
        <w:t xml:space="preserve">vendors in </w:t>
      </w:r>
      <w:r w:rsidRPr="00CF77C5">
        <w:rPr>
          <w:sz w:val="24"/>
          <w:szCs w:val="24"/>
        </w:rPr>
        <w:t>each capability area</w:t>
      </w:r>
      <w:r w:rsidRPr="00CF77C5">
        <w:rPr>
          <w:sz w:val="24"/>
          <w:szCs w:val="24"/>
        </w:rPr>
        <w:t xml:space="preserve"> and intends to select a range of vendors</w:t>
      </w:r>
      <w:r w:rsidR="00634746">
        <w:rPr>
          <w:sz w:val="24"/>
          <w:szCs w:val="24"/>
        </w:rPr>
        <w:t xml:space="preserve"> to ensure that competency in all capability areas is satisfied</w:t>
      </w:r>
      <w:r w:rsidRPr="00CF77C5">
        <w:rPr>
          <w:sz w:val="24"/>
          <w:szCs w:val="24"/>
        </w:rPr>
        <w:t>.</w:t>
      </w:r>
    </w:p>
    <w:p w14:paraId="5AF41031" w14:textId="601E0157" w:rsidR="00CF77C5" w:rsidRDefault="00CF77C5">
      <w:pPr>
        <w:rPr>
          <w:sz w:val="24"/>
          <w:szCs w:val="24"/>
        </w:rPr>
      </w:pPr>
    </w:p>
    <w:sectPr w:rsidR="00CF7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Slab">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4C"/>
    <w:rsid w:val="00634746"/>
    <w:rsid w:val="0096694C"/>
    <w:rsid w:val="00C24BD0"/>
    <w:rsid w:val="00CF7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D3CE"/>
  <w15:chartTrackingRefBased/>
  <w15:docId w15:val="{EE7CDA8D-AA07-4E39-89E0-592C8FE6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94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6694C"/>
    <w:pPr>
      <w:widowControl w:val="0"/>
      <w:autoSpaceDE w:val="0"/>
      <w:autoSpaceDN w:val="0"/>
    </w:pPr>
    <w:rPr>
      <w:rFonts w:ascii="Century Gothic" w:eastAsia="Century Gothic" w:hAnsi="Century Gothic" w:cs="Century Gothic"/>
      <w:sz w:val="24"/>
      <w:szCs w:val="24"/>
    </w:rPr>
  </w:style>
  <w:style w:type="character" w:customStyle="1" w:styleId="BodyTextChar">
    <w:name w:val="Body Text Char"/>
    <w:basedOn w:val="DefaultParagraphFont"/>
    <w:link w:val="BodyText"/>
    <w:uiPriority w:val="1"/>
    <w:rsid w:val="0096694C"/>
    <w:rPr>
      <w:rFonts w:ascii="Century Gothic" w:eastAsia="Century Gothic" w:hAnsi="Century Gothic" w:cs="Century Gothic"/>
      <w:sz w:val="24"/>
      <w:szCs w:val="24"/>
    </w:rPr>
  </w:style>
  <w:style w:type="paragraph" w:styleId="Title">
    <w:name w:val="Title"/>
    <w:basedOn w:val="Normal"/>
    <w:link w:val="TitleChar"/>
    <w:uiPriority w:val="10"/>
    <w:qFormat/>
    <w:rsid w:val="0096694C"/>
    <w:pPr>
      <w:widowControl w:val="0"/>
      <w:autoSpaceDE w:val="0"/>
      <w:autoSpaceDN w:val="0"/>
      <w:spacing w:before="80"/>
      <w:ind w:left="1847" w:right="1197" w:firstLine="1327"/>
    </w:pPr>
    <w:rPr>
      <w:rFonts w:ascii="Roboto Slab" w:eastAsia="Roboto Slab" w:hAnsi="Roboto Slab" w:cs="Roboto Slab"/>
      <w:b/>
      <w:bCs/>
      <w:sz w:val="32"/>
      <w:szCs w:val="32"/>
    </w:rPr>
  </w:style>
  <w:style w:type="character" w:customStyle="1" w:styleId="TitleChar">
    <w:name w:val="Title Char"/>
    <w:basedOn w:val="DefaultParagraphFont"/>
    <w:link w:val="Title"/>
    <w:uiPriority w:val="10"/>
    <w:rsid w:val="0096694C"/>
    <w:rPr>
      <w:rFonts w:ascii="Roboto Slab" w:eastAsia="Roboto Slab" w:hAnsi="Roboto Slab" w:cs="Roboto Slab"/>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82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Jennifer</dc:creator>
  <cp:keywords/>
  <dc:description/>
  <cp:lastModifiedBy>Jackson, Jennifer</cp:lastModifiedBy>
  <cp:revision>3</cp:revision>
  <dcterms:created xsi:type="dcterms:W3CDTF">2026-03-11T20:07:00Z</dcterms:created>
  <dcterms:modified xsi:type="dcterms:W3CDTF">2026-03-11T20:25:00Z</dcterms:modified>
</cp:coreProperties>
</file>