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FA71" w14:textId="77777777" w:rsidR="001A6A7F" w:rsidRPr="0024126B" w:rsidRDefault="001A6A7F" w:rsidP="0026596F"/>
    <w:p w14:paraId="4A0CDFCD" w14:textId="77777777" w:rsidR="004F2DEE" w:rsidRPr="00DD4DD7" w:rsidRDefault="004F2DEE" w:rsidP="003A28C2">
      <w:pPr>
        <w:pStyle w:val="Heading1"/>
      </w:pPr>
      <w:bookmarkStart w:id="0" w:name="_Hlk206435497"/>
      <w:r w:rsidRPr="0005543D">
        <w:rPr>
          <w:noProof/>
        </w:rPr>
        <w:drawing>
          <wp:anchor distT="0" distB="0" distL="114300" distR="114300" simplePos="0" relativeHeight="251659264" behindDoc="1" locked="0" layoutInCell="1" allowOverlap="1" wp14:anchorId="79119BD1" wp14:editId="33938BD9">
            <wp:simplePos x="0" y="0"/>
            <wp:positionH relativeFrom="column">
              <wp:posOffset>-85725</wp:posOffset>
            </wp:positionH>
            <wp:positionV relativeFrom="paragraph">
              <wp:posOffset>-438150</wp:posOffset>
            </wp:positionV>
            <wp:extent cx="1143000" cy="1143000"/>
            <wp:effectExtent l="0" t="0" r="0" b="0"/>
            <wp:wrapNone/>
            <wp:docPr id="1" name="Picture 1" descr="http://www.cabq.gov/seal/COA_logo_line_3_P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bq.gov/seal/COA_logo_line_3_PC.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43D">
        <w:t xml:space="preserve">City of </w:t>
      </w:r>
      <w:r w:rsidRPr="003A28C2">
        <w:t>Albuquerque</w:t>
      </w:r>
    </w:p>
    <w:p w14:paraId="6AF2A0D9" w14:textId="77777777" w:rsidR="004F2DEE" w:rsidRPr="0005543D" w:rsidRDefault="004F2DEE" w:rsidP="003625D6">
      <w:pPr>
        <w:pStyle w:val="Heading2"/>
      </w:pPr>
      <w:bookmarkStart w:id="1" w:name="Department"/>
      <w:bookmarkEnd w:id="1"/>
      <w:r w:rsidRPr="003625D6">
        <w:t>Office</w:t>
      </w:r>
      <w:r w:rsidRPr="0005543D">
        <w:t xml:space="preserve"> of the City Clerk</w:t>
      </w:r>
    </w:p>
    <w:p w14:paraId="2FDCC5A7" w14:textId="77777777" w:rsidR="001A6A7F" w:rsidRPr="0024126B" w:rsidRDefault="001A6A7F" w:rsidP="001A6A7F">
      <w:pPr>
        <w:pStyle w:val="Heading3"/>
        <w:rPr>
          <w:sz w:val="22"/>
          <w:szCs w:val="22"/>
        </w:rPr>
      </w:pPr>
    </w:p>
    <w:p w14:paraId="43976A3D" w14:textId="77777777" w:rsidR="001A6A7F" w:rsidRPr="0024126B" w:rsidRDefault="001A6A7F" w:rsidP="001A6A7F"/>
    <w:p w14:paraId="22D38672" w14:textId="77777777" w:rsidR="001A6A7F" w:rsidRPr="0024126B" w:rsidRDefault="001A6A7F" w:rsidP="001A6A7F">
      <w:pPr>
        <w:pStyle w:val="Heading3"/>
        <w:rPr>
          <w:sz w:val="22"/>
          <w:szCs w:val="22"/>
        </w:rPr>
      </w:pPr>
      <w:r w:rsidRPr="0024126B">
        <w:rPr>
          <w:sz w:val="22"/>
          <w:szCs w:val="22"/>
        </w:rPr>
        <w:t>Timothy M. Keller, Mayor</w:t>
      </w:r>
      <w:r w:rsidRPr="0024126B">
        <w:rPr>
          <w:sz w:val="22"/>
          <w:szCs w:val="22"/>
        </w:rPr>
        <w:tab/>
      </w:r>
      <w:r w:rsidRPr="0024126B">
        <w:rPr>
          <w:sz w:val="22"/>
          <w:szCs w:val="22"/>
        </w:rPr>
        <w:tab/>
      </w:r>
      <w:r w:rsidRPr="0024126B">
        <w:rPr>
          <w:sz w:val="22"/>
          <w:szCs w:val="22"/>
        </w:rPr>
        <w:tab/>
      </w:r>
      <w:r w:rsidRPr="0024126B">
        <w:rPr>
          <w:sz w:val="22"/>
          <w:szCs w:val="22"/>
        </w:rPr>
        <w:tab/>
      </w:r>
      <w:r w:rsidRPr="0024126B">
        <w:rPr>
          <w:sz w:val="22"/>
          <w:szCs w:val="22"/>
        </w:rPr>
        <w:tab/>
        <w:t xml:space="preserve">  Ethan Watson, City Clerk</w:t>
      </w:r>
    </w:p>
    <w:p w14:paraId="27D9868D" w14:textId="77777777" w:rsidR="001A6A7F" w:rsidRPr="0024126B" w:rsidRDefault="001A6A7F" w:rsidP="001A6A7F"/>
    <w:p w14:paraId="5F0B9F78" w14:textId="77777777" w:rsidR="001A6A7F" w:rsidRPr="0024126B" w:rsidRDefault="001A6A7F" w:rsidP="003625D6">
      <w:pPr>
        <w:pStyle w:val="Heading2"/>
      </w:pPr>
      <w:r w:rsidRPr="0024126B">
        <w:t>BOARD OF ETHICS &amp; CAMPAIGN PRACTICES</w:t>
      </w:r>
    </w:p>
    <w:bookmarkEnd w:id="0"/>
    <w:p w14:paraId="5BF1AD09" w14:textId="54BFE48D" w:rsidR="001B6341" w:rsidRDefault="00C9236C" w:rsidP="00105EFE">
      <w:pPr>
        <w:pStyle w:val="Heading3"/>
        <w:jc w:val="center"/>
      </w:pPr>
      <w:r>
        <w:t>Monday, April 27</w:t>
      </w:r>
      <w:r w:rsidR="00C039A1">
        <w:t>, 202</w:t>
      </w:r>
      <w:r>
        <w:t>6</w:t>
      </w:r>
    </w:p>
    <w:p w14:paraId="6A5B4FB5" w14:textId="77777777" w:rsidR="004F2DEE" w:rsidRPr="0024126B" w:rsidRDefault="004F2DEE" w:rsidP="004F2DEE">
      <w:pPr>
        <w:pStyle w:val="NoSpacing"/>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45"/>
        <w:gridCol w:w="4675"/>
      </w:tblGrid>
      <w:tr w:rsidR="001B6341" w:rsidRPr="0024126B" w14:paraId="43731587" w14:textId="77777777" w:rsidTr="002806C4">
        <w:tc>
          <w:tcPr>
            <w:tcW w:w="4675" w:type="dxa"/>
            <w:gridSpan w:val="2"/>
          </w:tcPr>
          <w:p w14:paraId="6188286E" w14:textId="77777777" w:rsidR="001B6341" w:rsidRPr="0024126B" w:rsidRDefault="001B6341" w:rsidP="001B6341">
            <w:pPr>
              <w:jc w:val="center"/>
            </w:pPr>
            <w:r w:rsidRPr="0024126B">
              <w:rPr>
                <w:u w:val="single"/>
              </w:rPr>
              <w:t>Members Present</w:t>
            </w:r>
          </w:p>
        </w:tc>
        <w:tc>
          <w:tcPr>
            <w:tcW w:w="4675" w:type="dxa"/>
          </w:tcPr>
          <w:p w14:paraId="3F83EEF5" w14:textId="77777777" w:rsidR="001B6341" w:rsidRPr="0024126B" w:rsidRDefault="001B6341" w:rsidP="001B6341">
            <w:pPr>
              <w:jc w:val="center"/>
            </w:pPr>
            <w:r w:rsidRPr="0024126B">
              <w:rPr>
                <w:u w:val="single"/>
              </w:rPr>
              <w:t>Others Present</w:t>
            </w:r>
          </w:p>
        </w:tc>
      </w:tr>
      <w:tr w:rsidR="001B6341" w:rsidRPr="0024126B" w14:paraId="4F3A858F" w14:textId="77777777" w:rsidTr="002806C4">
        <w:tc>
          <w:tcPr>
            <w:tcW w:w="4230" w:type="dxa"/>
          </w:tcPr>
          <w:p w14:paraId="310DC4CB" w14:textId="1729BF9F" w:rsidR="001B6341" w:rsidRPr="0024126B" w:rsidRDefault="00B85895" w:rsidP="001A6A7F">
            <w:r w:rsidRPr="0024126B">
              <w:t>Jason Marks</w:t>
            </w:r>
            <w:r w:rsidR="003E7B9B">
              <w:t>, Chair</w:t>
            </w:r>
          </w:p>
        </w:tc>
        <w:tc>
          <w:tcPr>
            <w:tcW w:w="5120" w:type="dxa"/>
            <w:gridSpan w:val="2"/>
          </w:tcPr>
          <w:p w14:paraId="78437709" w14:textId="77777777" w:rsidR="001B6341" w:rsidRPr="0024126B" w:rsidRDefault="001B6341" w:rsidP="00C050A3">
            <w:pPr>
              <w:jc w:val="right"/>
            </w:pPr>
            <w:r w:rsidRPr="0024126B">
              <w:t>Ethan Watson, City Clerk</w:t>
            </w:r>
          </w:p>
        </w:tc>
      </w:tr>
      <w:tr w:rsidR="005F4E06" w:rsidRPr="0024126B" w14:paraId="21B9519D" w14:textId="77777777" w:rsidTr="002806C4">
        <w:tc>
          <w:tcPr>
            <w:tcW w:w="4230" w:type="dxa"/>
          </w:tcPr>
          <w:p w14:paraId="1322B15E" w14:textId="018DAB36" w:rsidR="005F4E06" w:rsidRPr="0024126B" w:rsidRDefault="00B85895" w:rsidP="005F4E06">
            <w:r>
              <w:t>Kristina Caffrey</w:t>
            </w:r>
          </w:p>
        </w:tc>
        <w:tc>
          <w:tcPr>
            <w:tcW w:w="5120" w:type="dxa"/>
            <w:gridSpan w:val="2"/>
          </w:tcPr>
          <w:p w14:paraId="34FB24A3" w14:textId="097C0FA0" w:rsidR="005F4E06" w:rsidRPr="0024126B" w:rsidRDefault="00DD7EE6" w:rsidP="005F4E06">
            <w:pPr>
              <w:jc w:val="right"/>
            </w:pPr>
            <w:r>
              <w:t>Chris Peck, Deputy City Clerk</w:t>
            </w:r>
          </w:p>
        </w:tc>
      </w:tr>
      <w:tr w:rsidR="00DD7EE6" w:rsidRPr="0024126B" w14:paraId="62E97953" w14:textId="77777777" w:rsidTr="002806C4">
        <w:tc>
          <w:tcPr>
            <w:tcW w:w="4230" w:type="dxa"/>
          </w:tcPr>
          <w:p w14:paraId="5D7CCA0D" w14:textId="172E2BBC" w:rsidR="00DD7EE6" w:rsidRPr="0024126B" w:rsidRDefault="000E415F" w:rsidP="00DD7EE6">
            <w:r>
              <w:t>Sean Cunniff</w:t>
            </w:r>
          </w:p>
        </w:tc>
        <w:tc>
          <w:tcPr>
            <w:tcW w:w="5120" w:type="dxa"/>
            <w:gridSpan w:val="2"/>
          </w:tcPr>
          <w:p w14:paraId="176042A5" w14:textId="668A0A55" w:rsidR="00DD7EE6" w:rsidRPr="0024126B" w:rsidRDefault="00EF2EC3" w:rsidP="00DD7EE6">
            <w:pPr>
              <w:jc w:val="right"/>
            </w:pPr>
            <w:r>
              <w:t>Charles Davis</w:t>
            </w:r>
            <w:r w:rsidR="00DD7EE6">
              <w:t>,</w:t>
            </w:r>
            <w:r w:rsidR="00DD7EE6" w:rsidRPr="0024126B">
              <w:t xml:space="preserve"> City Attorney</w:t>
            </w:r>
          </w:p>
        </w:tc>
      </w:tr>
      <w:tr w:rsidR="0052191B" w:rsidRPr="0024126B" w14:paraId="7A42A7DA" w14:textId="77777777" w:rsidTr="002806C4">
        <w:tc>
          <w:tcPr>
            <w:tcW w:w="4230" w:type="dxa"/>
          </w:tcPr>
          <w:p w14:paraId="69844BE5" w14:textId="505E1D27" w:rsidR="0052191B" w:rsidRPr="0024126B" w:rsidRDefault="0052191B" w:rsidP="0052191B">
            <w:r>
              <w:t>John Kelly</w:t>
            </w:r>
          </w:p>
        </w:tc>
        <w:tc>
          <w:tcPr>
            <w:tcW w:w="5120" w:type="dxa"/>
            <w:gridSpan w:val="2"/>
          </w:tcPr>
          <w:p w14:paraId="13608E60" w14:textId="6ABF6E4D" w:rsidR="0052191B" w:rsidRPr="0024126B" w:rsidRDefault="0052191B" w:rsidP="0052191B">
            <w:pPr>
              <w:jc w:val="right"/>
            </w:pPr>
            <w:r w:rsidRPr="0024126B">
              <w:t>Cristobal Rocha, Program Admin</w:t>
            </w:r>
          </w:p>
        </w:tc>
      </w:tr>
      <w:tr w:rsidR="0052191B" w:rsidRPr="0024126B" w14:paraId="40C4B169" w14:textId="77777777" w:rsidTr="002806C4">
        <w:tc>
          <w:tcPr>
            <w:tcW w:w="4230" w:type="dxa"/>
          </w:tcPr>
          <w:p w14:paraId="4EFC4A13" w14:textId="73548212" w:rsidR="0052191B" w:rsidRPr="0024126B" w:rsidRDefault="0052191B" w:rsidP="0052191B">
            <w:r w:rsidRPr="004C5E5A">
              <w:t xml:space="preserve">Clayton King (joined during item </w:t>
            </w:r>
            <w:r>
              <w:t>IV</w:t>
            </w:r>
            <w:r w:rsidRPr="004C5E5A">
              <w:t>)</w:t>
            </w:r>
          </w:p>
        </w:tc>
        <w:tc>
          <w:tcPr>
            <w:tcW w:w="5120" w:type="dxa"/>
            <w:gridSpan w:val="2"/>
          </w:tcPr>
          <w:p w14:paraId="3FB2932B" w14:textId="7D63B46D" w:rsidR="0052191B" w:rsidRPr="0024126B" w:rsidRDefault="0052191B" w:rsidP="0052191B">
            <w:pPr>
              <w:jc w:val="right"/>
            </w:pPr>
            <w:r>
              <w:t>Matthew Jackson, Outside Counsel</w:t>
            </w:r>
          </w:p>
        </w:tc>
      </w:tr>
      <w:tr w:rsidR="0052191B" w:rsidRPr="0024126B" w14:paraId="41F4CC3C" w14:textId="77777777" w:rsidTr="002806C4">
        <w:tc>
          <w:tcPr>
            <w:tcW w:w="4230" w:type="dxa"/>
          </w:tcPr>
          <w:p w14:paraId="4A28FD60" w14:textId="339FE691" w:rsidR="0052191B" w:rsidRDefault="0052191B" w:rsidP="0052191B">
            <w:r w:rsidRPr="002806C4">
              <w:t>Susan Selbin</w:t>
            </w:r>
          </w:p>
        </w:tc>
        <w:tc>
          <w:tcPr>
            <w:tcW w:w="5120" w:type="dxa"/>
            <w:gridSpan w:val="2"/>
          </w:tcPr>
          <w:p w14:paraId="218D39F2" w14:textId="06C09107" w:rsidR="0052191B" w:rsidRPr="0024126B" w:rsidRDefault="0052191B" w:rsidP="0052191B">
            <w:pPr>
              <w:jc w:val="right"/>
            </w:pPr>
            <w:bookmarkStart w:id="2" w:name="_Hlk234254127"/>
            <w:r w:rsidRPr="00EF2EC3">
              <w:t>Devrim Tiryaki</w:t>
            </w:r>
            <w:bookmarkEnd w:id="2"/>
            <w:r>
              <w:t>, Complainant Counsel</w:t>
            </w:r>
          </w:p>
        </w:tc>
      </w:tr>
      <w:tr w:rsidR="0052191B" w:rsidRPr="0024126B" w14:paraId="57D4783B" w14:textId="77777777" w:rsidTr="002806C4">
        <w:tc>
          <w:tcPr>
            <w:tcW w:w="4230" w:type="dxa"/>
          </w:tcPr>
          <w:p w14:paraId="75012D08" w14:textId="185D1DF2" w:rsidR="0052191B" w:rsidRPr="00F45A23" w:rsidRDefault="0052191B" w:rsidP="0052191B">
            <w:pPr>
              <w:rPr>
                <w:highlight w:val="yellow"/>
              </w:rPr>
            </w:pPr>
          </w:p>
        </w:tc>
        <w:tc>
          <w:tcPr>
            <w:tcW w:w="5120" w:type="dxa"/>
            <w:gridSpan w:val="2"/>
          </w:tcPr>
          <w:p w14:paraId="49297E06" w14:textId="369A0A8F" w:rsidR="0052191B" w:rsidRDefault="0052191B" w:rsidP="0052191B">
            <w:pPr>
              <w:jc w:val="right"/>
            </w:pPr>
            <w:r>
              <w:t>Moe Maestas, Complainant Counsel</w:t>
            </w:r>
          </w:p>
        </w:tc>
      </w:tr>
      <w:tr w:rsidR="0052191B" w:rsidRPr="0024126B" w14:paraId="27DFE6F0" w14:textId="77777777" w:rsidTr="002806C4">
        <w:tc>
          <w:tcPr>
            <w:tcW w:w="4230" w:type="dxa"/>
          </w:tcPr>
          <w:p w14:paraId="4712D2AF" w14:textId="1FE4F12E" w:rsidR="0052191B" w:rsidRDefault="0052191B" w:rsidP="0052191B"/>
        </w:tc>
        <w:tc>
          <w:tcPr>
            <w:tcW w:w="5120" w:type="dxa"/>
            <w:gridSpan w:val="2"/>
          </w:tcPr>
          <w:p w14:paraId="38296A4D" w14:textId="4C62C48F" w:rsidR="0052191B" w:rsidRDefault="0052191B" w:rsidP="0052191B">
            <w:pPr>
              <w:jc w:val="right"/>
            </w:pPr>
            <w:r>
              <w:t>Jacob Candelaria, Complainant</w:t>
            </w:r>
          </w:p>
        </w:tc>
      </w:tr>
      <w:tr w:rsidR="0052191B" w:rsidRPr="0024126B" w14:paraId="1D293F71" w14:textId="77777777" w:rsidTr="002806C4">
        <w:tc>
          <w:tcPr>
            <w:tcW w:w="4230" w:type="dxa"/>
          </w:tcPr>
          <w:p w14:paraId="3560ED85" w14:textId="2C31DFAD" w:rsidR="0052191B" w:rsidRDefault="0052191B" w:rsidP="0052191B"/>
        </w:tc>
        <w:tc>
          <w:tcPr>
            <w:tcW w:w="5120" w:type="dxa"/>
            <w:gridSpan w:val="2"/>
          </w:tcPr>
          <w:p w14:paraId="6284D697" w14:textId="20B01A32" w:rsidR="0052191B" w:rsidRDefault="0052191B" w:rsidP="0052191B">
            <w:pPr>
              <w:jc w:val="right"/>
            </w:pPr>
            <w:r>
              <w:t>David Ring, Respondent Counsel</w:t>
            </w:r>
          </w:p>
        </w:tc>
      </w:tr>
      <w:tr w:rsidR="0052191B" w:rsidRPr="0024126B" w14:paraId="3A6E1AD1" w14:textId="77777777" w:rsidTr="002806C4">
        <w:tc>
          <w:tcPr>
            <w:tcW w:w="4230" w:type="dxa"/>
          </w:tcPr>
          <w:p w14:paraId="18A19C53" w14:textId="77777777" w:rsidR="0052191B" w:rsidRDefault="0052191B" w:rsidP="0052191B"/>
        </w:tc>
        <w:tc>
          <w:tcPr>
            <w:tcW w:w="5120" w:type="dxa"/>
            <w:gridSpan w:val="2"/>
          </w:tcPr>
          <w:p w14:paraId="0AF6D5A0" w14:textId="6E867611" w:rsidR="0052191B" w:rsidRDefault="0052191B" w:rsidP="0052191B">
            <w:pPr>
              <w:jc w:val="right"/>
            </w:pPr>
            <w:r>
              <w:t>Teresa Garcia, Respondent</w:t>
            </w:r>
          </w:p>
        </w:tc>
      </w:tr>
    </w:tbl>
    <w:p w14:paraId="3AD7321A" w14:textId="77777777" w:rsidR="001A6A7F" w:rsidRPr="0024126B" w:rsidRDefault="001A6A7F" w:rsidP="001A6A7F">
      <w:pPr>
        <w:pStyle w:val="NoSpacing"/>
        <w:rPr>
          <w:rFonts w:ascii="Times New Roman" w:hAnsi="Times New Roman" w:cs="Times New Roman"/>
          <w:u w:val="single"/>
        </w:rPr>
      </w:pPr>
      <w:r w:rsidRPr="0024126B">
        <w:rPr>
          <w:rFonts w:ascii="Times New Roman" w:hAnsi="Times New Roman" w:cs="Times New Roman"/>
        </w:rPr>
        <w:tab/>
      </w:r>
      <w:r w:rsidRPr="0024126B">
        <w:rPr>
          <w:rFonts w:ascii="Times New Roman" w:hAnsi="Times New Roman" w:cs="Times New Roman"/>
        </w:rPr>
        <w:tab/>
      </w:r>
      <w:r w:rsidRPr="0024126B">
        <w:rPr>
          <w:rFonts w:ascii="Times New Roman" w:hAnsi="Times New Roman" w:cs="Times New Roman"/>
        </w:rPr>
        <w:tab/>
      </w:r>
      <w:r w:rsidRPr="0024126B">
        <w:rPr>
          <w:rFonts w:ascii="Times New Roman" w:hAnsi="Times New Roman" w:cs="Times New Roman"/>
        </w:rPr>
        <w:tab/>
      </w:r>
      <w:r w:rsidRPr="0024126B">
        <w:rPr>
          <w:rFonts w:ascii="Times New Roman" w:hAnsi="Times New Roman" w:cs="Times New Roman"/>
        </w:rPr>
        <w:tab/>
      </w:r>
    </w:p>
    <w:p w14:paraId="4D368964" w14:textId="7C523DFA" w:rsidR="001A6A7F" w:rsidRPr="0024126B" w:rsidRDefault="001B6341" w:rsidP="003625D6">
      <w:pPr>
        <w:pStyle w:val="Heading2"/>
      </w:pPr>
      <w:r w:rsidRPr="0024126B">
        <w:t>M</w:t>
      </w:r>
      <w:r w:rsidR="001A6A7F" w:rsidRPr="0024126B">
        <w:t>INUTES</w:t>
      </w:r>
    </w:p>
    <w:p w14:paraId="36E9004D" w14:textId="7347F3FD" w:rsidR="00480899" w:rsidRPr="0024126B" w:rsidRDefault="00480899" w:rsidP="00F947F6">
      <w:pPr>
        <w:tabs>
          <w:tab w:val="left" w:pos="821"/>
          <w:tab w:val="left" w:pos="822"/>
        </w:tabs>
        <w:spacing w:before="1"/>
        <w:jc w:val="both"/>
        <w:rPr>
          <w:b/>
        </w:rPr>
      </w:pPr>
    </w:p>
    <w:p w14:paraId="20DBE8BD" w14:textId="3BC3962A" w:rsidR="00921081" w:rsidRPr="0024126B" w:rsidRDefault="00921081" w:rsidP="00C050A3">
      <w:pPr>
        <w:tabs>
          <w:tab w:val="left" w:pos="821"/>
          <w:tab w:val="left" w:pos="822"/>
        </w:tabs>
        <w:spacing w:before="1"/>
        <w:jc w:val="both"/>
        <w:rPr>
          <w:bCs/>
        </w:rPr>
      </w:pPr>
    </w:p>
    <w:p w14:paraId="0F5A31A5" w14:textId="77777777" w:rsidR="00EF2EC3" w:rsidRPr="00C9236C" w:rsidRDefault="0071333C" w:rsidP="007F6283">
      <w:pPr>
        <w:pStyle w:val="ListParagraph"/>
        <w:numPr>
          <w:ilvl w:val="0"/>
          <w:numId w:val="1"/>
        </w:numPr>
        <w:tabs>
          <w:tab w:val="left" w:pos="821"/>
          <w:tab w:val="left" w:pos="822"/>
        </w:tabs>
        <w:spacing w:before="1"/>
        <w:jc w:val="both"/>
        <w:rPr>
          <w:b/>
        </w:rPr>
      </w:pPr>
      <w:r w:rsidRPr="00C9236C">
        <w:rPr>
          <w:b/>
        </w:rPr>
        <w:t>Call to order.</w:t>
      </w:r>
    </w:p>
    <w:p w14:paraId="217D6DBC" w14:textId="122F3E51" w:rsidR="003E7B9B" w:rsidRPr="00C9236C" w:rsidRDefault="00EF2EC3" w:rsidP="00EF2EC3">
      <w:pPr>
        <w:pStyle w:val="ListParagraph"/>
        <w:tabs>
          <w:tab w:val="left" w:pos="821"/>
          <w:tab w:val="left" w:pos="822"/>
        </w:tabs>
        <w:spacing w:before="1"/>
        <w:ind w:firstLine="0"/>
        <w:jc w:val="both"/>
      </w:pPr>
      <w:r w:rsidRPr="00C9236C">
        <w:t>The Board of Ethics &amp; Campaign Practices meeting of April 27, 2026, was called to order by Chair Marks at 1:00 p.m. Five members were present at the start of the meeting, establishing a quorum, with Members King and Green absent.</w:t>
      </w:r>
    </w:p>
    <w:p w14:paraId="397665D2" w14:textId="77777777" w:rsidR="00EF2EC3" w:rsidRPr="00C9236C" w:rsidRDefault="00EF2EC3" w:rsidP="00EF2EC3">
      <w:pPr>
        <w:tabs>
          <w:tab w:val="left" w:pos="821"/>
          <w:tab w:val="left" w:pos="822"/>
        </w:tabs>
        <w:spacing w:before="1"/>
        <w:jc w:val="both"/>
        <w:rPr>
          <w:b/>
        </w:rPr>
      </w:pPr>
    </w:p>
    <w:p w14:paraId="54B99E9B" w14:textId="36882F8D" w:rsidR="00FB6570" w:rsidRPr="00C9236C" w:rsidRDefault="00F45A23" w:rsidP="007F6283">
      <w:pPr>
        <w:pStyle w:val="ListParagraph"/>
        <w:numPr>
          <w:ilvl w:val="0"/>
          <w:numId w:val="1"/>
        </w:numPr>
        <w:tabs>
          <w:tab w:val="left" w:pos="821"/>
          <w:tab w:val="left" w:pos="822"/>
        </w:tabs>
        <w:jc w:val="both"/>
        <w:rPr>
          <w:b/>
        </w:rPr>
      </w:pPr>
      <w:r w:rsidRPr="00C9236C">
        <w:rPr>
          <w:b/>
        </w:rPr>
        <w:t xml:space="preserve">Review and approval of agenda for </w:t>
      </w:r>
      <w:r w:rsidR="00EF2EC3" w:rsidRPr="00C9236C">
        <w:rPr>
          <w:b/>
        </w:rPr>
        <w:t>Monday, April 27, 2026</w:t>
      </w:r>
    </w:p>
    <w:p w14:paraId="7966E3FD" w14:textId="325A1340" w:rsidR="000E415F" w:rsidRPr="00C9236C" w:rsidRDefault="00EF2EC3" w:rsidP="00EF2EC3">
      <w:pPr>
        <w:pStyle w:val="ListParagraph"/>
        <w:spacing w:after="200"/>
        <w:ind w:firstLine="0"/>
      </w:pPr>
      <w:r w:rsidRPr="00C9236C">
        <w:t>Member Caffrey moved to approve the agenda. Member Cunniff seconded. Motion approved unanimously, 5-0.</w:t>
      </w:r>
    </w:p>
    <w:p w14:paraId="41A5099F" w14:textId="77777777" w:rsidR="00EF2EC3" w:rsidRPr="00C9236C" w:rsidRDefault="00F45A23" w:rsidP="000E415F">
      <w:pPr>
        <w:pStyle w:val="ListParagraph"/>
        <w:numPr>
          <w:ilvl w:val="0"/>
          <w:numId w:val="1"/>
        </w:numPr>
        <w:tabs>
          <w:tab w:val="left" w:pos="821"/>
          <w:tab w:val="left" w:pos="822"/>
        </w:tabs>
        <w:jc w:val="both"/>
        <w:rPr>
          <w:b/>
          <w:bCs/>
        </w:rPr>
      </w:pPr>
      <w:r w:rsidRPr="00C9236C">
        <w:rPr>
          <w:b/>
          <w:bCs/>
        </w:rPr>
        <w:t xml:space="preserve">Review and approval of minutes from Wednesday, </w:t>
      </w:r>
      <w:r w:rsidR="00EF2EC3" w:rsidRPr="00C9236C">
        <w:rPr>
          <w:b/>
          <w:bCs/>
        </w:rPr>
        <w:t>January 14, 2026</w:t>
      </w:r>
    </w:p>
    <w:p w14:paraId="1EAECE21" w14:textId="736EFE23" w:rsidR="000E415F" w:rsidRPr="00C9236C" w:rsidRDefault="00EF2EC3" w:rsidP="00EF2EC3">
      <w:pPr>
        <w:pStyle w:val="ListParagraph"/>
        <w:tabs>
          <w:tab w:val="left" w:pos="821"/>
          <w:tab w:val="left" w:pos="822"/>
        </w:tabs>
        <w:ind w:firstLine="0"/>
        <w:jc w:val="both"/>
        <w:rPr>
          <w:b/>
          <w:bCs/>
        </w:rPr>
      </w:pPr>
      <w:r w:rsidRPr="00C9236C">
        <w:t>Member Caffrey moved to approve the minutes. Member Kelly seconded. Motion approved unanimously, 5-0.</w:t>
      </w:r>
    </w:p>
    <w:p w14:paraId="79F00692" w14:textId="77777777" w:rsidR="00EF2EC3" w:rsidRPr="00C9236C" w:rsidRDefault="00EF2EC3" w:rsidP="00EF2EC3">
      <w:pPr>
        <w:pStyle w:val="ListParagraph"/>
        <w:tabs>
          <w:tab w:val="left" w:pos="822"/>
        </w:tabs>
        <w:ind w:firstLine="0"/>
        <w:rPr>
          <w:b/>
          <w:bCs/>
        </w:rPr>
      </w:pPr>
    </w:p>
    <w:p w14:paraId="6C38D000" w14:textId="77777777" w:rsidR="00EF2EC3" w:rsidRPr="00C9236C" w:rsidRDefault="00EF2EC3" w:rsidP="00EF2EC3">
      <w:pPr>
        <w:pStyle w:val="ListParagraph"/>
        <w:numPr>
          <w:ilvl w:val="0"/>
          <w:numId w:val="1"/>
        </w:numPr>
        <w:rPr>
          <w:b/>
          <w:bCs/>
        </w:rPr>
      </w:pPr>
      <w:r w:rsidRPr="00C9236C">
        <w:rPr>
          <w:b/>
          <w:bCs/>
        </w:rPr>
        <w:t>Discussion on CCA v. City of Albuquerque Board of Ethics.</w:t>
      </w:r>
    </w:p>
    <w:p w14:paraId="4FB48B46" w14:textId="25B04082" w:rsidR="00EF2EC3" w:rsidRPr="00C9236C" w:rsidRDefault="00EF2EC3" w:rsidP="00EF2EC3">
      <w:pPr>
        <w:pStyle w:val="ListParagraph"/>
        <w:ind w:firstLine="0"/>
      </w:pPr>
      <w:r w:rsidRPr="00C9236C">
        <w:t>Matt</w:t>
      </w:r>
      <w:r w:rsidR="00633D3D">
        <w:t>hew</w:t>
      </w:r>
      <w:r w:rsidRPr="00C9236C">
        <w:t xml:space="preserve"> Jackson, </w:t>
      </w:r>
      <w:r w:rsidR="0052191B">
        <w:t xml:space="preserve">outside board counsel, </w:t>
      </w:r>
      <w:r w:rsidRPr="00C9236C">
        <w:t>updated the Board on the status of the litigation, including a federal district court ruling finding a substantial portion of the committee reporting requirements unconstitutional, and developments since the Board was last briefed in fall 2025.</w:t>
      </w:r>
    </w:p>
    <w:p w14:paraId="7C29DA43" w14:textId="77777777" w:rsidR="00EF2EC3" w:rsidRPr="00C9236C" w:rsidRDefault="00EF2EC3" w:rsidP="00EF2EC3">
      <w:pPr>
        <w:pStyle w:val="ListParagraph"/>
        <w:ind w:firstLine="0"/>
      </w:pPr>
    </w:p>
    <w:p w14:paraId="671F5A05" w14:textId="6CA7448F" w:rsidR="00EF2EC3" w:rsidRPr="00C9236C" w:rsidRDefault="00EF2EC3" w:rsidP="00EF2EC3">
      <w:pPr>
        <w:pStyle w:val="ListParagraph"/>
        <w:ind w:firstLine="0"/>
      </w:pPr>
      <w:r w:rsidRPr="00C9236C">
        <w:t>Member Cunniff moved to enter closed session pursuant to NMSA 1978, § 10-15-1(H)(7), to discuss pending and ongoing litigation covered by attorney-client privilege. Member Kelly seconded. Motion approved unanimously, 5-0.</w:t>
      </w:r>
    </w:p>
    <w:p w14:paraId="67FE047A" w14:textId="77777777" w:rsidR="00EF2EC3" w:rsidRPr="00C9236C" w:rsidRDefault="00EF2EC3" w:rsidP="00EF2EC3">
      <w:pPr>
        <w:pStyle w:val="ListParagraph"/>
        <w:ind w:firstLine="0"/>
        <w:rPr>
          <w:b/>
          <w:bCs/>
        </w:rPr>
      </w:pPr>
    </w:p>
    <w:p w14:paraId="0B5ADE54" w14:textId="77777777" w:rsidR="00EF2EC3" w:rsidRPr="00C9236C" w:rsidRDefault="00EF2EC3" w:rsidP="00EF2EC3">
      <w:pPr>
        <w:pStyle w:val="ListParagraph"/>
        <w:tabs>
          <w:tab w:val="left" w:pos="822"/>
        </w:tabs>
        <w:ind w:firstLine="0"/>
        <w:rPr>
          <w:i/>
          <w:iCs/>
        </w:rPr>
      </w:pPr>
      <w:r w:rsidRPr="00C9236C">
        <w:rPr>
          <w:i/>
          <w:iCs/>
        </w:rPr>
        <w:t>Member King joined the meeting during closed session, at approximately 1:15 p.m.</w:t>
      </w:r>
    </w:p>
    <w:p w14:paraId="56B8D1F8" w14:textId="77777777" w:rsidR="00EF2EC3" w:rsidRPr="00C9236C" w:rsidRDefault="00EF2EC3" w:rsidP="00EF2EC3">
      <w:pPr>
        <w:pStyle w:val="ListParagraph"/>
        <w:tabs>
          <w:tab w:val="left" w:pos="822"/>
        </w:tabs>
        <w:ind w:firstLine="0"/>
      </w:pPr>
    </w:p>
    <w:p w14:paraId="05F413CD" w14:textId="1A94D816" w:rsidR="00EF2EC3" w:rsidRPr="00C9236C" w:rsidRDefault="00EF2EC3" w:rsidP="00EF2EC3">
      <w:pPr>
        <w:pStyle w:val="ListParagraph"/>
        <w:tabs>
          <w:tab w:val="left" w:pos="822"/>
        </w:tabs>
        <w:ind w:firstLine="0"/>
      </w:pPr>
      <w:r w:rsidRPr="00C9236C">
        <w:lastRenderedPageBreak/>
        <w:t xml:space="preserve">Member Selbin moved to return to open session. Member King seconded. Motion approved unanimously, 6-0. </w:t>
      </w:r>
      <w:r w:rsidR="00633D3D" w:rsidRPr="00C9236C">
        <w:t xml:space="preserve">The Board returned to open session. </w:t>
      </w:r>
      <w:r w:rsidRPr="00C9236C">
        <w:t xml:space="preserve">The Board then moved to authorize </w:t>
      </w:r>
      <w:r w:rsidR="0052191B">
        <w:t xml:space="preserve">Mr. </w:t>
      </w:r>
      <w:r w:rsidRPr="00C9236C">
        <w:t>Jackson to lead settlement discussions on behalf of the Board in CCA v. City of Albuquerque Board of Ethics. Motion approved unanimously, 6-0.</w:t>
      </w:r>
    </w:p>
    <w:p w14:paraId="1920DFF9" w14:textId="77777777" w:rsidR="00EF2EC3" w:rsidRPr="00C9236C" w:rsidRDefault="00EF2EC3" w:rsidP="00EF2EC3">
      <w:pPr>
        <w:pStyle w:val="ListParagraph"/>
        <w:tabs>
          <w:tab w:val="left" w:pos="822"/>
        </w:tabs>
        <w:ind w:firstLine="0"/>
      </w:pPr>
    </w:p>
    <w:p w14:paraId="1D8058AF" w14:textId="77777777" w:rsidR="00EF2EC3" w:rsidRPr="00C9236C" w:rsidRDefault="00EF2EC3" w:rsidP="00EF2EC3">
      <w:pPr>
        <w:pStyle w:val="ListParagraph"/>
        <w:numPr>
          <w:ilvl w:val="0"/>
          <w:numId w:val="1"/>
        </w:numPr>
        <w:rPr>
          <w:b/>
          <w:bCs/>
        </w:rPr>
      </w:pPr>
      <w:r w:rsidRPr="00C9236C">
        <w:rPr>
          <w:b/>
          <w:bCs/>
        </w:rPr>
        <w:t>City Clerk’s presentation regarding possible investigation or further action related to BOE 11-2025 Ely v. Unknown Measure Finance Committee. Discussion and potential action on the proposal.</w:t>
      </w:r>
    </w:p>
    <w:p w14:paraId="013C0450" w14:textId="77777777" w:rsidR="00C9236C" w:rsidRPr="00C9236C" w:rsidRDefault="00C9236C" w:rsidP="00C9236C">
      <w:pPr>
        <w:pStyle w:val="ListParagraph"/>
        <w:spacing w:after="200"/>
        <w:ind w:firstLine="0"/>
      </w:pPr>
      <w:r w:rsidRPr="00C9236C">
        <w:t>City Clerk Ethan Watson presented a quote of approximately $6,000 from Robert Caswell Investigations (RCI) to review the record, conduct fact-finding, and prepare a written report to the Board. Mr. Watson advised that any resulting report would be public, consistent with the Board’s past practice with investigative reports, and that the Office of Inspector General had been contacted but did not have capacity to take on the investigation at this time. Members discussed that funding would be addressed through the budget process, and briefly discussed the limitations period applicable to the complaint, noting that an exception applies where the relevant facts were not yet known.</w:t>
      </w:r>
    </w:p>
    <w:p w14:paraId="7CD35BA9" w14:textId="31A7F4ED" w:rsidR="00051D56" w:rsidRPr="00C9236C" w:rsidRDefault="00C9236C" w:rsidP="00C9236C">
      <w:pPr>
        <w:pStyle w:val="ListParagraph"/>
        <w:spacing w:after="200"/>
        <w:ind w:firstLine="0"/>
      </w:pPr>
      <w:r w:rsidRPr="00C9236C">
        <w:t>Member Cunniff moved to direct the City Clerk to contract with Robert Caswell Investigations (RCI) to investigate BOE 11-2025. Chair Marks seconded. Motion failed, 5-1, with only Member Cunniff voting in favor.</w:t>
      </w:r>
    </w:p>
    <w:p w14:paraId="62835E58" w14:textId="77777777" w:rsidR="00C9236C" w:rsidRPr="00C9236C" w:rsidRDefault="00C9236C" w:rsidP="00C9236C">
      <w:pPr>
        <w:pStyle w:val="ListParagraph"/>
        <w:numPr>
          <w:ilvl w:val="0"/>
          <w:numId w:val="1"/>
        </w:numPr>
        <w:rPr>
          <w:b/>
          <w:bCs/>
        </w:rPr>
      </w:pPr>
      <w:r w:rsidRPr="00C9236C">
        <w:rPr>
          <w:b/>
          <w:bCs/>
        </w:rPr>
        <w:t>Discussion and potential action on 01-2026 Resolution to adopt a 2026 meeting schedule, public comment process, and Zoom meeting type.</w:t>
      </w:r>
    </w:p>
    <w:p w14:paraId="5C305A7B" w14:textId="7C95CE52" w:rsidR="00C9236C" w:rsidRPr="00C9236C" w:rsidRDefault="00C9236C" w:rsidP="00C9236C">
      <w:pPr>
        <w:pStyle w:val="ListParagraph"/>
        <w:spacing w:after="200"/>
        <w:ind w:firstLine="0"/>
      </w:pPr>
      <w:bookmarkStart w:id="3" w:name="_Hlk234253832"/>
      <w:r w:rsidRPr="00C9236C">
        <w:t>The Program Administrator, Cristobal Rocha, presented Resolution 01-2026, noting minimal changes from the prior year’s resolution: updated language confirming that in-person hearings will be held at Plaza del Sol, and a standardized YouTube livestream link for streamed meetings. The resolution adds two additional meeting dates, July 14, 2026, and October 6, 2026, though Mr. Rocha noted the Charter requires only two meetings per year outside of an election year. The resolution’s public comment section follows the practice used by other City boards and commissions, under which public comment is submitted to the Clerk’s Office in advance of the meeting for presentation to the Board.</w:t>
      </w:r>
    </w:p>
    <w:p w14:paraId="6C846A37" w14:textId="3AF6D7F2" w:rsidR="00B72BD9" w:rsidRPr="00C9236C" w:rsidRDefault="00C9236C" w:rsidP="00C9236C">
      <w:pPr>
        <w:pStyle w:val="ListParagraph"/>
        <w:spacing w:after="200"/>
        <w:ind w:firstLine="0"/>
      </w:pPr>
      <w:r w:rsidRPr="00C9236C">
        <w:t>Member Caffrey moved to adopt Resolution 01-2026. Member King seconded. Motion approved unanimously, 6-0.</w:t>
      </w:r>
      <w:bookmarkEnd w:id="3"/>
    </w:p>
    <w:p w14:paraId="204DB900" w14:textId="77777777" w:rsidR="00C9236C" w:rsidRPr="00C9236C" w:rsidRDefault="00C9236C" w:rsidP="00C9236C">
      <w:pPr>
        <w:pStyle w:val="ListParagraph"/>
        <w:numPr>
          <w:ilvl w:val="0"/>
          <w:numId w:val="1"/>
        </w:numPr>
        <w:rPr>
          <w:b/>
          <w:bCs/>
        </w:rPr>
      </w:pPr>
      <w:r w:rsidRPr="00C9236C">
        <w:rPr>
          <w:b/>
          <w:bCs/>
        </w:rPr>
        <w:t>Discussion, and potential action on the Board’s annual report to be submitted to Council and Mayor.</w:t>
      </w:r>
    </w:p>
    <w:p w14:paraId="424087D6" w14:textId="35D7CD01" w:rsidR="00C9236C" w:rsidRPr="00C9236C" w:rsidRDefault="00C9236C" w:rsidP="00C9236C">
      <w:pPr>
        <w:pStyle w:val="ListParagraph"/>
        <w:tabs>
          <w:tab w:val="left" w:pos="821"/>
          <w:tab w:val="left" w:pos="822"/>
        </w:tabs>
        <w:ind w:firstLine="0"/>
        <w:jc w:val="both"/>
      </w:pPr>
      <w:r w:rsidRPr="00C9236C">
        <w:t>Mr. Rocha stated that the draft annual report was not yet ready to share with the Board and asked that the item be deferred to the next meeting. No motion was made, and no vote was taken.</w:t>
      </w:r>
    </w:p>
    <w:p w14:paraId="1597EC6A" w14:textId="77777777" w:rsidR="00C9236C" w:rsidRPr="00C9236C" w:rsidRDefault="00C9236C" w:rsidP="00C9236C">
      <w:pPr>
        <w:tabs>
          <w:tab w:val="left" w:pos="821"/>
          <w:tab w:val="left" w:pos="822"/>
        </w:tabs>
        <w:jc w:val="both"/>
      </w:pPr>
    </w:p>
    <w:p w14:paraId="2D28E9C3" w14:textId="60AFD175" w:rsidR="00C9236C" w:rsidRDefault="00C9236C" w:rsidP="00B72BD9">
      <w:pPr>
        <w:pStyle w:val="ListParagraph"/>
        <w:numPr>
          <w:ilvl w:val="0"/>
          <w:numId w:val="1"/>
        </w:numPr>
        <w:tabs>
          <w:tab w:val="left" w:pos="821"/>
          <w:tab w:val="left" w:pos="822"/>
        </w:tabs>
        <w:jc w:val="both"/>
        <w:rPr>
          <w:b/>
          <w:bCs/>
        </w:rPr>
      </w:pPr>
      <w:r w:rsidRPr="00C9236C">
        <w:rPr>
          <w:b/>
          <w:bCs/>
        </w:rPr>
        <w:t>Evidentiary hearing on BOE 10-2025, Candelaria v. Garcia.</w:t>
      </w:r>
    </w:p>
    <w:p w14:paraId="51C3FED4" w14:textId="77777777" w:rsidR="007C40AB" w:rsidRPr="007C40AB" w:rsidRDefault="007C40AB" w:rsidP="007C40AB">
      <w:pPr>
        <w:pStyle w:val="ListParagraph"/>
        <w:tabs>
          <w:tab w:val="left" w:pos="821"/>
          <w:tab w:val="left" w:pos="822"/>
        </w:tabs>
        <w:ind w:firstLine="0"/>
        <w:jc w:val="both"/>
      </w:pPr>
      <w:r w:rsidRPr="007C40AB">
        <w:t>Member Caffrey recused herself from this matter, stating that Complainant’s counsel represents her as a plaintiff in unrelated public-records litigation. She did not participate in the hearing or vote on this item.</w:t>
      </w:r>
    </w:p>
    <w:p w14:paraId="11576D04" w14:textId="77777777" w:rsidR="007C40AB" w:rsidRDefault="007C40AB" w:rsidP="007C40AB">
      <w:pPr>
        <w:pStyle w:val="ListParagraph"/>
        <w:tabs>
          <w:tab w:val="left" w:pos="821"/>
          <w:tab w:val="left" w:pos="822"/>
        </w:tabs>
        <w:ind w:firstLine="0"/>
        <w:jc w:val="both"/>
      </w:pPr>
    </w:p>
    <w:p w14:paraId="6713E0CE" w14:textId="4642F254" w:rsidR="007C40AB" w:rsidRPr="007C40AB" w:rsidRDefault="007C40AB" w:rsidP="007C40AB">
      <w:pPr>
        <w:pStyle w:val="ListParagraph"/>
        <w:tabs>
          <w:tab w:val="left" w:pos="821"/>
          <w:tab w:val="left" w:pos="822"/>
        </w:tabs>
        <w:ind w:firstLine="0"/>
        <w:jc w:val="both"/>
      </w:pPr>
      <w:r w:rsidRPr="007C40AB">
        <w:t>Devrim Tiryaki appeared as counsel for Complainant Jacob Candelaria, with Moe Maestas as co-counsel. David Ring appeared as counsel for Respondent Teresa Garcia.</w:t>
      </w:r>
    </w:p>
    <w:p w14:paraId="6481AC19" w14:textId="77777777" w:rsidR="007C40AB" w:rsidRDefault="007C40AB" w:rsidP="007C40AB">
      <w:pPr>
        <w:pStyle w:val="ListParagraph"/>
        <w:tabs>
          <w:tab w:val="left" w:pos="821"/>
          <w:tab w:val="left" w:pos="822"/>
        </w:tabs>
        <w:ind w:firstLine="0"/>
        <w:jc w:val="both"/>
      </w:pPr>
    </w:p>
    <w:p w14:paraId="00A43E38" w14:textId="61FDE687" w:rsidR="007C40AB" w:rsidRPr="007C40AB" w:rsidRDefault="007C40AB" w:rsidP="007C40AB">
      <w:pPr>
        <w:pStyle w:val="ListParagraph"/>
        <w:tabs>
          <w:tab w:val="left" w:pos="821"/>
          <w:tab w:val="left" w:pos="822"/>
        </w:tabs>
        <w:ind w:firstLine="0"/>
        <w:jc w:val="both"/>
      </w:pPr>
      <w:r w:rsidRPr="007C40AB">
        <w:t xml:space="preserve">Chair Marks opened the hearing and explained the hearing procedure: the Chair would rule on procedural and evidentiary matters, subject to the Board’s ability to overturn a ruling by majority vote on a member’s motion; opening statements would be limited to four minutes and closing arguments to six minutes per side; and City Charter, ordinance, and Clerk’s Rules materials did </w:t>
      </w:r>
      <w:r w:rsidRPr="007C40AB">
        <w:lastRenderedPageBreak/>
        <w:t>not need to be admitted as exhibits to be used as argument aids.</w:t>
      </w:r>
    </w:p>
    <w:p w14:paraId="61512ADE" w14:textId="77777777" w:rsidR="007C40AB" w:rsidRDefault="007C40AB" w:rsidP="007C40AB">
      <w:pPr>
        <w:pStyle w:val="ListParagraph"/>
        <w:tabs>
          <w:tab w:val="left" w:pos="821"/>
          <w:tab w:val="left" w:pos="822"/>
        </w:tabs>
        <w:ind w:firstLine="0"/>
        <w:jc w:val="both"/>
      </w:pPr>
    </w:p>
    <w:p w14:paraId="37F395BA" w14:textId="5DB419DD" w:rsidR="007C40AB" w:rsidRPr="007C40AB" w:rsidRDefault="007C40AB" w:rsidP="007C40AB">
      <w:pPr>
        <w:pStyle w:val="ListParagraph"/>
        <w:tabs>
          <w:tab w:val="left" w:pos="821"/>
          <w:tab w:val="left" w:pos="822"/>
        </w:tabs>
        <w:ind w:firstLine="0"/>
        <w:jc w:val="both"/>
      </w:pPr>
      <w:r w:rsidRPr="007C40AB">
        <w:t>The parties resolved several preliminary evidentiary matters by stipulation prior to testimony, including issues related to a prior administrative subpoena for records of Respondent’s fee and billing arrangement with counsel.</w:t>
      </w:r>
    </w:p>
    <w:p w14:paraId="6B8686F7" w14:textId="77777777" w:rsidR="007C40AB" w:rsidRDefault="007C40AB" w:rsidP="007C40AB">
      <w:pPr>
        <w:pStyle w:val="ListParagraph"/>
        <w:tabs>
          <w:tab w:val="left" w:pos="821"/>
          <w:tab w:val="left" w:pos="822"/>
        </w:tabs>
        <w:ind w:firstLine="0"/>
        <w:jc w:val="both"/>
      </w:pPr>
    </w:p>
    <w:p w14:paraId="16C3E0EF" w14:textId="74689770" w:rsidR="007C40AB" w:rsidRPr="007C40AB" w:rsidRDefault="007C40AB" w:rsidP="007C40AB">
      <w:pPr>
        <w:pStyle w:val="ListParagraph"/>
        <w:tabs>
          <w:tab w:val="left" w:pos="821"/>
          <w:tab w:val="left" w:pos="822"/>
        </w:tabs>
        <w:ind w:firstLine="0"/>
        <w:jc w:val="both"/>
      </w:pPr>
      <w:r w:rsidRPr="007C40AB">
        <w:t>Testimony was taken from Respondent Teresa Garcia, Complainant Jacob Candelaria, and David Ring. Exhibits admitted into the record included relevant portions of Respondent’s attorney-client fee agreement, an invoice for the legal services at issue, and Respondent’s October 2025 and January 2026 campaign finance reports. Both parties presented opening statements and closing arguments.</w:t>
      </w:r>
    </w:p>
    <w:p w14:paraId="1E7DC50B" w14:textId="77777777" w:rsidR="007C40AB" w:rsidRDefault="007C40AB" w:rsidP="007C40AB">
      <w:pPr>
        <w:pStyle w:val="ListParagraph"/>
        <w:tabs>
          <w:tab w:val="left" w:pos="821"/>
          <w:tab w:val="left" w:pos="822"/>
        </w:tabs>
        <w:ind w:firstLine="0"/>
        <w:jc w:val="both"/>
      </w:pPr>
    </w:p>
    <w:p w14:paraId="7398E007" w14:textId="22F4A57F" w:rsidR="007C40AB" w:rsidRPr="007C40AB" w:rsidRDefault="007C40AB" w:rsidP="007C40AB">
      <w:pPr>
        <w:pStyle w:val="ListParagraph"/>
        <w:tabs>
          <w:tab w:val="left" w:pos="821"/>
          <w:tab w:val="left" w:pos="822"/>
        </w:tabs>
        <w:ind w:firstLine="0"/>
        <w:jc w:val="both"/>
      </w:pPr>
      <w:r w:rsidRPr="007C40AB">
        <w:t>Following closing arguments, the Board deliberated on the record in open session.</w:t>
      </w:r>
    </w:p>
    <w:p w14:paraId="56BED580" w14:textId="77777777" w:rsidR="007C40AB" w:rsidRDefault="007C40AB" w:rsidP="007C40AB">
      <w:pPr>
        <w:pStyle w:val="ListParagraph"/>
        <w:tabs>
          <w:tab w:val="left" w:pos="821"/>
          <w:tab w:val="left" w:pos="822"/>
        </w:tabs>
        <w:ind w:firstLine="0"/>
        <w:jc w:val="both"/>
      </w:pPr>
    </w:p>
    <w:p w14:paraId="4AD75704" w14:textId="59FCEA8C" w:rsidR="007C40AB" w:rsidRPr="007C40AB" w:rsidRDefault="007C40AB" w:rsidP="007C40AB">
      <w:pPr>
        <w:pStyle w:val="ListParagraph"/>
        <w:tabs>
          <w:tab w:val="left" w:pos="821"/>
          <w:tab w:val="left" w:pos="822"/>
        </w:tabs>
        <w:ind w:firstLine="0"/>
        <w:jc w:val="both"/>
      </w:pPr>
      <w:r w:rsidRPr="007C40AB">
        <w:t>Member Cunniff moved to find that Respondent violated Charter Article XIII, Section 4(c)(2)(B)(7), as modified by the City Clerk’s Rules, and to issue a reprimand. Chair Marks seconded. A vote began, with Members Cunniff and King voting yes; before the vote concluded, Member Kelly asked that the motion be restated, and the motion was not brought to a final vote.</w:t>
      </w:r>
    </w:p>
    <w:p w14:paraId="2053A82B" w14:textId="77777777" w:rsidR="007C40AB" w:rsidRDefault="007C40AB" w:rsidP="007C40AB">
      <w:pPr>
        <w:pStyle w:val="ListParagraph"/>
        <w:tabs>
          <w:tab w:val="left" w:pos="821"/>
          <w:tab w:val="left" w:pos="822"/>
        </w:tabs>
        <w:ind w:firstLine="0"/>
        <w:jc w:val="both"/>
      </w:pPr>
    </w:p>
    <w:p w14:paraId="423212A3" w14:textId="721164C4" w:rsidR="007C40AB" w:rsidRPr="007C40AB" w:rsidRDefault="007C40AB" w:rsidP="007C40AB">
      <w:pPr>
        <w:pStyle w:val="ListParagraph"/>
        <w:tabs>
          <w:tab w:val="left" w:pos="821"/>
          <w:tab w:val="left" w:pos="822"/>
        </w:tabs>
        <w:ind w:firstLine="0"/>
        <w:jc w:val="both"/>
      </w:pPr>
      <w:r w:rsidRPr="007C40AB">
        <w:t>Member Kelly moved to amend the motion. Chair Marks seconded. The amendment failed, 0-4, with Chair Marks abstaining.</w:t>
      </w:r>
    </w:p>
    <w:p w14:paraId="1509B925" w14:textId="77777777" w:rsidR="007C40AB" w:rsidRDefault="007C40AB" w:rsidP="007C40AB">
      <w:pPr>
        <w:pStyle w:val="ListParagraph"/>
        <w:tabs>
          <w:tab w:val="left" w:pos="821"/>
          <w:tab w:val="left" w:pos="822"/>
        </w:tabs>
        <w:ind w:firstLine="0"/>
        <w:jc w:val="both"/>
      </w:pPr>
    </w:p>
    <w:p w14:paraId="1601DD6B" w14:textId="35FF0FB1" w:rsidR="007C40AB" w:rsidRPr="007C40AB" w:rsidRDefault="007C40AB" w:rsidP="007C40AB">
      <w:pPr>
        <w:pStyle w:val="ListParagraph"/>
        <w:tabs>
          <w:tab w:val="left" w:pos="821"/>
          <w:tab w:val="left" w:pos="822"/>
        </w:tabs>
        <w:ind w:firstLine="0"/>
        <w:jc w:val="both"/>
      </w:pPr>
      <w:r w:rsidRPr="007C40AB">
        <w:t>Chair Marks then offered a substitute motion: that the Board find Respondent violated the Charter as modified by the City Clerk's Rules, but that the violation was not willful, and to impose a reprimand. Member Kelly seconded. Motion approved, 4-1, with Member Cunniff dissenting.</w:t>
      </w:r>
    </w:p>
    <w:p w14:paraId="5DD76014" w14:textId="77777777" w:rsidR="007C40AB" w:rsidRDefault="007C40AB" w:rsidP="007C40AB">
      <w:pPr>
        <w:pStyle w:val="ListParagraph"/>
        <w:tabs>
          <w:tab w:val="left" w:pos="821"/>
          <w:tab w:val="left" w:pos="822"/>
        </w:tabs>
        <w:ind w:firstLine="0"/>
        <w:jc w:val="both"/>
      </w:pPr>
    </w:p>
    <w:p w14:paraId="6098226B" w14:textId="31106AA1" w:rsidR="007C40AB" w:rsidRPr="007C40AB" w:rsidRDefault="007C40AB" w:rsidP="007C40AB">
      <w:pPr>
        <w:pStyle w:val="ListParagraph"/>
        <w:tabs>
          <w:tab w:val="left" w:pos="821"/>
          <w:tab w:val="left" w:pos="822"/>
        </w:tabs>
        <w:ind w:firstLine="0"/>
        <w:jc w:val="both"/>
      </w:pPr>
      <w:r w:rsidRPr="007C40AB">
        <w:t>The Board's written Decision on BOE 10-2025, entered May 5, 2026, sets out the specific findings underlying this vote, including the applicable Charter and Rules provisions, the basis for finding the violation non-willful, and the caution issued to Respondent regarding future compliance.</w:t>
      </w:r>
    </w:p>
    <w:p w14:paraId="41E9712A" w14:textId="77777777" w:rsidR="007C40AB" w:rsidRPr="007C40AB" w:rsidRDefault="007C40AB" w:rsidP="007C40AB">
      <w:pPr>
        <w:pStyle w:val="ListParagraph"/>
        <w:tabs>
          <w:tab w:val="left" w:pos="821"/>
          <w:tab w:val="left" w:pos="822"/>
        </w:tabs>
        <w:ind w:firstLine="0"/>
        <w:jc w:val="both"/>
      </w:pPr>
    </w:p>
    <w:p w14:paraId="60C45CDE" w14:textId="125E2CCD" w:rsidR="00B72BD9" w:rsidRPr="00C9236C" w:rsidRDefault="00043AC8" w:rsidP="00B72BD9">
      <w:pPr>
        <w:pStyle w:val="ListParagraph"/>
        <w:numPr>
          <w:ilvl w:val="0"/>
          <w:numId w:val="1"/>
        </w:numPr>
        <w:tabs>
          <w:tab w:val="left" w:pos="821"/>
          <w:tab w:val="left" w:pos="822"/>
        </w:tabs>
        <w:jc w:val="both"/>
      </w:pPr>
      <w:r w:rsidRPr="00C9236C">
        <w:rPr>
          <w:b/>
          <w:bCs/>
        </w:rPr>
        <w:t>Adjournment.</w:t>
      </w:r>
    </w:p>
    <w:p w14:paraId="63CF1A99" w14:textId="3665C197" w:rsidR="006662EA" w:rsidRPr="0024126B" w:rsidRDefault="007C40AB" w:rsidP="007C40AB">
      <w:pPr>
        <w:pStyle w:val="ListParagraph"/>
        <w:spacing w:after="200"/>
        <w:ind w:firstLine="0"/>
      </w:pPr>
      <w:r>
        <w:t xml:space="preserve">There being no further business before the Board, the meeting was adjourned at approximately 3:30 </w:t>
      </w:r>
      <w:r w:rsidR="00633D3D">
        <w:t>p</w:t>
      </w:r>
      <w:r>
        <w:t>.</w:t>
      </w:r>
      <w:r w:rsidR="00633D3D">
        <w:t>m</w:t>
      </w:r>
      <w:r>
        <w:t>.</w:t>
      </w:r>
    </w:p>
    <w:sectPr w:rsidR="006662EA" w:rsidRPr="002412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C056" w14:textId="77777777" w:rsidR="002C5804" w:rsidRDefault="002C5804" w:rsidP="002C5804">
      <w:r>
        <w:separator/>
      </w:r>
    </w:p>
  </w:endnote>
  <w:endnote w:type="continuationSeparator" w:id="0">
    <w:p w14:paraId="0448C621" w14:textId="77777777" w:rsidR="002C5804" w:rsidRDefault="002C5804" w:rsidP="002C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5FF7" w14:textId="77777777" w:rsidR="002C5804" w:rsidRDefault="002C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64FE" w14:textId="77777777" w:rsidR="002C5804" w:rsidRDefault="002C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7A84" w14:textId="77777777" w:rsidR="002C5804" w:rsidRDefault="002C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811E" w14:textId="77777777" w:rsidR="002C5804" w:rsidRDefault="002C5804" w:rsidP="002C5804">
      <w:r>
        <w:separator/>
      </w:r>
    </w:p>
  </w:footnote>
  <w:footnote w:type="continuationSeparator" w:id="0">
    <w:p w14:paraId="7743F8A8" w14:textId="77777777" w:rsidR="002C5804" w:rsidRDefault="002C5804" w:rsidP="002C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343D" w14:textId="77777777" w:rsidR="002C5804" w:rsidRDefault="002C5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846823"/>
      <w:docPartObj>
        <w:docPartGallery w:val="Watermarks"/>
        <w:docPartUnique/>
      </w:docPartObj>
    </w:sdtPr>
    <w:sdtEndPr/>
    <w:sdtContent>
      <w:p w14:paraId="015A9ADD" w14:textId="7C67FFEE" w:rsidR="002C5804" w:rsidRDefault="00633D3D">
        <w:pPr>
          <w:pStyle w:val="Header"/>
        </w:pPr>
        <w:r>
          <w:rPr>
            <w:noProof/>
          </w:rPr>
          <w:pict w14:anchorId="6C621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734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2E9A" w14:textId="77777777" w:rsidR="002C5804" w:rsidRDefault="002C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CA5"/>
    <w:multiLevelType w:val="hybridMultilevel"/>
    <w:tmpl w:val="1E5E8600"/>
    <w:lvl w:ilvl="0" w:tplc="1BFAA6E8">
      <w:start w:val="1"/>
      <w:numFmt w:val="upperRoman"/>
      <w:lvlText w:val="%1."/>
      <w:lvlJc w:val="left"/>
      <w:pPr>
        <w:ind w:left="360" w:hanging="360"/>
      </w:pPr>
      <w:rPr>
        <w:rFonts w:ascii="Times New Roman" w:eastAsia="Times New Roman" w:hAnsi="Times New Roman" w:cs="Times New Roman" w:hint="default"/>
        <w:spacing w:val="-1"/>
        <w:w w:val="100"/>
        <w:sz w:val="22"/>
        <w:szCs w:val="22"/>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AA3AD1"/>
    <w:multiLevelType w:val="hybridMultilevel"/>
    <w:tmpl w:val="47AE69C8"/>
    <w:lvl w:ilvl="0" w:tplc="B270FC80">
      <w:start w:val="7"/>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 w15:restartNumberingAfterBreak="0">
    <w:nsid w:val="23D26850"/>
    <w:multiLevelType w:val="hybridMultilevel"/>
    <w:tmpl w:val="13F294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3" w15:restartNumberingAfterBreak="0">
    <w:nsid w:val="2E6F0BC2"/>
    <w:multiLevelType w:val="multilevel"/>
    <w:tmpl w:val="95A4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A18C7"/>
    <w:multiLevelType w:val="hybridMultilevel"/>
    <w:tmpl w:val="29F875DA"/>
    <w:lvl w:ilvl="0" w:tplc="714E4908">
      <w:start w:val="296"/>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 w15:restartNumberingAfterBreak="0">
    <w:nsid w:val="348C0DF6"/>
    <w:multiLevelType w:val="hybridMultilevel"/>
    <w:tmpl w:val="A7FE6FD0"/>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6" w15:restartNumberingAfterBreak="0">
    <w:nsid w:val="3AE92DB1"/>
    <w:multiLevelType w:val="hybridMultilevel"/>
    <w:tmpl w:val="4C76BF0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7" w15:restartNumberingAfterBreak="0">
    <w:nsid w:val="4286540C"/>
    <w:multiLevelType w:val="hybridMultilevel"/>
    <w:tmpl w:val="11BA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2580D"/>
    <w:multiLevelType w:val="hybridMultilevel"/>
    <w:tmpl w:val="7130A27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9" w15:restartNumberingAfterBreak="0">
    <w:nsid w:val="50E65DF5"/>
    <w:multiLevelType w:val="hybridMultilevel"/>
    <w:tmpl w:val="97865C02"/>
    <w:lvl w:ilvl="0" w:tplc="2C62FCFC">
      <w:start w:val="1"/>
      <w:numFmt w:val="upperRoman"/>
      <w:lvlText w:val="%1."/>
      <w:lvlJc w:val="left"/>
      <w:pPr>
        <w:ind w:left="1182" w:hanging="360"/>
      </w:pPr>
      <w:rPr>
        <w:rFonts w:ascii="Times New Roman" w:eastAsia="Times New Roman" w:hAnsi="Times New Roman" w:cs="Times New Roman" w:hint="default"/>
        <w:b/>
        <w:spacing w:val="-1"/>
        <w:w w:val="100"/>
        <w:sz w:val="22"/>
        <w:szCs w:val="22"/>
        <w:lang w:val="en-US" w:eastAsia="en-US" w:bidi="en-US"/>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0" w15:restartNumberingAfterBreak="0">
    <w:nsid w:val="55666561"/>
    <w:multiLevelType w:val="hybridMultilevel"/>
    <w:tmpl w:val="5A54B896"/>
    <w:lvl w:ilvl="0" w:tplc="04090013">
      <w:start w:val="1"/>
      <w:numFmt w:val="upperRoman"/>
      <w:lvlText w:val="%1."/>
      <w:lvlJc w:val="right"/>
      <w:pPr>
        <w:ind w:left="822"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 w15:restartNumberingAfterBreak="0">
    <w:nsid w:val="64014B84"/>
    <w:multiLevelType w:val="hybridMultilevel"/>
    <w:tmpl w:val="106E93C4"/>
    <w:lvl w:ilvl="0" w:tplc="66B48C0C">
      <w:start w:val="7"/>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2" w15:restartNumberingAfterBreak="0">
    <w:nsid w:val="65164F88"/>
    <w:multiLevelType w:val="hybridMultilevel"/>
    <w:tmpl w:val="36887294"/>
    <w:lvl w:ilvl="0" w:tplc="2F4AB494">
      <w:start w:val="7"/>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3" w15:restartNumberingAfterBreak="0">
    <w:nsid w:val="69DE3AEB"/>
    <w:multiLevelType w:val="multilevel"/>
    <w:tmpl w:val="187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A2278"/>
    <w:multiLevelType w:val="hybridMultilevel"/>
    <w:tmpl w:val="64847F2A"/>
    <w:lvl w:ilvl="0" w:tplc="2C62FCFC">
      <w:start w:val="1"/>
      <w:numFmt w:val="upperRoman"/>
      <w:lvlText w:val="%1."/>
      <w:lvlJc w:val="left"/>
      <w:pPr>
        <w:ind w:left="822" w:hanging="720"/>
      </w:pPr>
      <w:rPr>
        <w:rFonts w:ascii="Times New Roman" w:eastAsia="Times New Roman" w:hAnsi="Times New Roman" w:cs="Times New Roman" w:hint="default"/>
        <w:b/>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abstractNum w:abstractNumId="15" w15:restartNumberingAfterBreak="0">
    <w:nsid w:val="7CF23092"/>
    <w:multiLevelType w:val="hybridMultilevel"/>
    <w:tmpl w:val="0F60446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num w:numId="1">
    <w:abstractNumId w:val="14"/>
  </w:num>
  <w:num w:numId="2">
    <w:abstractNumId w:val="0"/>
  </w:num>
  <w:num w:numId="3">
    <w:abstractNumId w:val="3"/>
  </w:num>
  <w:num w:numId="4">
    <w:abstractNumId w:val="4"/>
  </w:num>
  <w:num w:numId="5">
    <w:abstractNumId w:val="11"/>
  </w:num>
  <w:num w:numId="6">
    <w:abstractNumId w:val="1"/>
  </w:num>
  <w:num w:numId="7">
    <w:abstractNumId w:val="9"/>
  </w:num>
  <w:num w:numId="8">
    <w:abstractNumId w:val="12"/>
  </w:num>
  <w:num w:numId="9">
    <w:abstractNumId w:val="7"/>
  </w:num>
  <w:num w:numId="10">
    <w:abstractNumId w:val="13"/>
  </w:num>
  <w:num w:numId="11">
    <w:abstractNumId w:val="2"/>
  </w:num>
  <w:num w:numId="12">
    <w:abstractNumId w:val="15"/>
  </w:num>
  <w:num w:numId="13">
    <w:abstractNumId w:val="6"/>
  </w:num>
  <w:num w:numId="14">
    <w:abstractNumId w:val="8"/>
  </w:num>
  <w:num w:numId="15">
    <w:abstractNumId w:val="5"/>
  </w:num>
  <w:num w:numId="1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57348"/>
    <o:shapelayout v:ext="edit">
      <o:idmap v:ext="edit" data="5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70"/>
    <w:rsid w:val="00000A5F"/>
    <w:rsid w:val="00014AA5"/>
    <w:rsid w:val="00043AC8"/>
    <w:rsid w:val="00051D56"/>
    <w:rsid w:val="00052BD7"/>
    <w:rsid w:val="000651B9"/>
    <w:rsid w:val="00091585"/>
    <w:rsid w:val="000C55A8"/>
    <w:rsid w:val="000D0B6F"/>
    <w:rsid w:val="000E146A"/>
    <w:rsid w:val="000E415F"/>
    <w:rsid w:val="00103F9D"/>
    <w:rsid w:val="00105EFE"/>
    <w:rsid w:val="0012582F"/>
    <w:rsid w:val="0017286D"/>
    <w:rsid w:val="00180044"/>
    <w:rsid w:val="001A6A7F"/>
    <w:rsid w:val="001B0B58"/>
    <w:rsid w:val="001B6341"/>
    <w:rsid w:val="001C5888"/>
    <w:rsid w:val="001D47CD"/>
    <w:rsid w:val="00216BDA"/>
    <w:rsid w:val="0024126B"/>
    <w:rsid w:val="00261D06"/>
    <w:rsid w:val="0026596F"/>
    <w:rsid w:val="002806C4"/>
    <w:rsid w:val="002B0D86"/>
    <w:rsid w:val="002C5804"/>
    <w:rsid w:val="002D12C4"/>
    <w:rsid w:val="002D2630"/>
    <w:rsid w:val="002F153C"/>
    <w:rsid w:val="00315D54"/>
    <w:rsid w:val="00322080"/>
    <w:rsid w:val="003625D6"/>
    <w:rsid w:val="00367CA8"/>
    <w:rsid w:val="003A1422"/>
    <w:rsid w:val="003A28C2"/>
    <w:rsid w:val="003A28FE"/>
    <w:rsid w:val="003B1987"/>
    <w:rsid w:val="003C675B"/>
    <w:rsid w:val="003D0365"/>
    <w:rsid w:val="003D198B"/>
    <w:rsid w:val="003E40E7"/>
    <w:rsid w:val="003E6DAD"/>
    <w:rsid w:val="003E7B9B"/>
    <w:rsid w:val="00480899"/>
    <w:rsid w:val="004C5E5A"/>
    <w:rsid w:val="004C7A40"/>
    <w:rsid w:val="004F2DEE"/>
    <w:rsid w:val="004F50FD"/>
    <w:rsid w:val="00513E8C"/>
    <w:rsid w:val="0051552F"/>
    <w:rsid w:val="0052191B"/>
    <w:rsid w:val="0054557E"/>
    <w:rsid w:val="005C1BA8"/>
    <w:rsid w:val="005E6A5F"/>
    <w:rsid w:val="005F20ED"/>
    <w:rsid w:val="005F4E06"/>
    <w:rsid w:val="00605F9B"/>
    <w:rsid w:val="00620F3B"/>
    <w:rsid w:val="00621F19"/>
    <w:rsid w:val="00633D3D"/>
    <w:rsid w:val="0063455E"/>
    <w:rsid w:val="00645E01"/>
    <w:rsid w:val="00647F2D"/>
    <w:rsid w:val="00657499"/>
    <w:rsid w:val="006616EC"/>
    <w:rsid w:val="006662EA"/>
    <w:rsid w:val="006665EB"/>
    <w:rsid w:val="00673EC4"/>
    <w:rsid w:val="0068019B"/>
    <w:rsid w:val="006823A1"/>
    <w:rsid w:val="0068545F"/>
    <w:rsid w:val="0069161C"/>
    <w:rsid w:val="006B7BFB"/>
    <w:rsid w:val="006C4A20"/>
    <w:rsid w:val="006D55E2"/>
    <w:rsid w:val="006F0FC3"/>
    <w:rsid w:val="006F7762"/>
    <w:rsid w:val="0071152F"/>
    <w:rsid w:val="0071333C"/>
    <w:rsid w:val="0075350B"/>
    <w:rsid w:val="007539CA"/>
    <w:rsid w:val="00761122"/>
    <w:rsid w:val="00765305"/>
    <w:rsid w:val="007816D6"/>
    <w:rsid w:val="007A2435"/>
    <w:rsid w:val="007C40AB"/>
    <w:rsid w:val="007F10C3"/>
    <w:rsid w:val="007F6283"/>
    <w:rsid w:val="00817FEA"/>
    <w:rsid w:val="00825BD7"/>
    <w:rsid w:val="00832A87"/>
    <w:rsid w:val="00847E72"/>
    <w:rsid w:val="0086255D"/>
    <w:rsid w:val="00870DE7"/>
    <w:rsid w:val="00884080"/>
    <w:rsid w:val="0089420E"/>
    <w:rsid w:val="00897491"/>
    <w:rsid w:val="008B5ADF"/>
    <w:rsid w:val="008C1260"/>
    <w:rsid w:val="008D5DDA"/>
    <w:rsid w:val="008D5FF3"/>
    <w:rsid w:val="008E2677"/>
    <w:rsid w:val="008E7F29"/>
    <w:rsid w:val="008F0BE6"/>
    <w:rsid w:val="00921081"/>
    <w:rsid w:val="00921A6E"/>
    <w:rsid w:val="00950ADB"/>
    <w:rsid w:val="00967346"/>
    <w:rsid w:val="009851E9"/>
    <w:rsid w:val="0099591A"/>
    <w:rsid w:val="009B74E4"/>
    <w:rsid w:val="009D7F74"/>
    <w:rsid w:val="009E20DE"/>
    <w:rsid w:val="009F1238"/>
    <w:rsid w:val="00A01D1A"/>
    <w:rsid w:val="00A02195"/>
    <w:rsid w:val="00A02CED"/>
    <w:rsid w:val="00A40B6E"/>
    <w:rsid w:val="00A5551D"/>
    <w:rsid w:val="00A6365E"/>
    <w:rsid w:val="00A809C9"/>
    <w:rsid w:val="00A8573B"/>
    <w:rsid w:val="00AA1163"/>
    <w:rsid w:val="00AB0BE0"/>
    <w:rsid w:val="00AB4753"/>
    <w:rsid w:val="00AC1C93"/>
    <w:rsid w:val="00AC3069"/>
    <w:rsid w:val="00AC3192"/>
    <w:rsid w:val="00AE7E13"/>
    <w:rsid w:val="00B02379"/>
    <w:rsid w:val="00B02681"/>
    <w:rsid w:val="00B2097F"/>
    <w:rsid w:val="00B4407D"/>
    <w:rsid w:val="00B46056"/>
    <w:rsid w:val="00B472EE"/>
    <w:rsid w:val="00B72BD9"/>
    <w:rsid w:val="00B85895"/>
    <w:rsid w:val="00B915AC"/>
    <w:rsid w:val="00BC2427"/>
    <w:rsid w:val="00BD77B0"/>
    <w:rsid w:val="00BE1DE3"/>
    <w:rsid w:val="00BF2C64"/>
    <w:rsid w:val="00C039A1"/>
    <w:rsid w:val="00C050A3"/>
    <w:rsid w:val="00C25C4E"/>
    <w:rsid w:val="00C3187E"/>
    <w:rsid w:val="00C31BC7"/>
    <w:rsid w:val="00C54ACB"/>
    <w:rsid w:val="00C61C66"/>
    <w:rsid w:val="00C9236C"/>
    <w:rsid w:val="00CA645E"/>
    <w:rsid w:val="00CB58D5"/>
    <w:rsid w:val="00CE2255"/>
    <w:rsid w:val="00D732D7"/>
    <w:rsid w:val="00D76234"/>
    <w:rsid w:val="00D968C3"/>
    <w:rsid w:val="00DB04D1"/>
    <w:rsid w:val="00DC1661"/>
    <w:rsid w:val="00DD366F"/>
    <w:rsid w:val="00DD7EE6"/>
    <w:rsid w:val="00E006CA"/>
    <w:rsid w:val="00E0075D"/>
    <w:rsid w:val="00E037A3"/>
    <w:rsid w:val="00E038EF"/>
    <w:rsid w:val="00E23633"/>
    <w:rsid w:val="00E23E03"/>
    <w:rsid w:val="00E31A26"/>
    <w:rsid w:val="00E4058D"/>
    <w:rsid w:val="00E4180B"/>
    <w:rsid w:val="00E6144E"/>
    <w:rsid w:val="00E634F6"/>
    <w:rsid w:val="00E70B41"/>
    <w:rsid w:val="00EC4315"/>
    <w:rsid w:val="00EC6000"/>
    <w:rsid w:val="00EF2EC3"/>
    <w:rsid w:val="00F246DC"/>
    <w:rsid w:val="00F32AD6"/>
    <w:rsid w:val="00F40286"/>
    <w:rsid w:val="00F45A23"/>
    <w:rsid w:val="00F51494"/>
    <w:rsid w:val="00F576B0"/>
    <w:rsid w:val="00F64C0F"/>
    <w:rsid w:val="00F90087"/>
    <w:rsid w:val="00F947F6"/>
    <w:rsid w:val="00F964B4"/>
    <w:rsid w:val="00FB6570"/>
    <w:rsid w:val="00FB7D67"/>
    <w:rsid w:val="00FD06F3"/>
    <w:rsid w:val="00FE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8"/>
    <o:shapelayout v:ext="edit">
      <o:idmap v:ext="edit" data="1"/>
    </o:shapelayout>
  </w:shapeDefaults>
  <w:decimalSymbol w:val="."/>
  <w:listSeparator w:val=","/>
  <w14:docId w14:val="19BD7BDC"/>
  <w15:chartTrackingRefBased/>
  <w15:docId w15:val="{898120F1-B4CB-4174-B51B-9EC17814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7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Title"/>
    <w:next w:val="Normal"/>
    <w:link w:val="Heading1Char"/>
    <w:uiPriority w:val="9"/>
    <w:qFormat/>
    <w:rsid w:val="003A28C2"/>
    <w:pPr>
      <w:outlineLvl w:val="0"/>
    </w:pPr>
  </w:style>
  <w:style w:type="paragraph" w:styleId="Heading2">
    <w:name w:val="heading 2"/>
    <w:basedOn w:val="Normal"/>
    <w:next w:val="Normal"/>
    <w:link w:val="Heading2Char"/>
    <w:qFormat/>
    <w:rsid w:val="003625D6"/>
    <w:pPr>
      <w:keepNext/>
      <w:widowControl/>
      <w:autoSpaceDE/>
      <w:autoSpaceDN/>
      <w:jc w:val="center"/>
      <w:outlineLvl w:val="1"/>
    </w:pPr>
    <w:rPr>
      <w:b/>
      <w:sz w:val="28"/>
      <w:szCs w:val="28"/>
      <w:lang w:bidi="ar-SA"/>
    </w:rPr>
  </w:style>
  <w:style w:type="paragraph" w:styleId="Heading3">
    <w:name w:val="heading 3"/>
    <w:basedOn w:val="Normal"/>
    <w:next w:val="Normal"/>
    <w:link w:val="Heading3Char"/>
    <w:qFormat/>
    <w:rsid w:val="001A6A7F"/>
    <w:pPr>
      <w:keepNext/>
      <w:widowControl/>
      <w:autoSpaceDE/>
      <w:autoSpaceDN/>
      <w:outlineLvl w:val="2"/>
    </w:pPr>
    <w:rPr>
      <w:b/>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6570"/>
  </w:style>
  <w:style w:type="character" w:customStyle="1" w:styleId="BodyTextChar">
    <w:name w:val="Body Text Char"/>
    <w:basedOn w:val="DefaultParagraphFont"/>
    <w:link w:val="BodyText"/>
    <w:uiPriority w:val="1"/>
    <w:rsid w:val="00FB6570"/>
    <w:rPr>
      <w:rFonts w:ascii="Times New Roman" w:eastAsia="Times New Roman" w:hAnsi="Times New Roman" w:cs="Times New Roman"/>
      <w:lang w:bidi="en-US"/>
    </w:rPr>
  </w:style>
  <w:style w:type="paragraph" w:styleId="ListParagraph">
    <w:name w:val="List Paragraph"/>
    <w:basedOn w:val="Normal"/>
    <w:uiPriority w:val="1"/>
    <w:qFormat/>
    <w:rsid w:val="00FB6570"/>
    <w:pPr>
      <w:ind w:left="822" w:hanging="720"/>
    </w:pPr>
  </w:style>
  <w:style w:type="character" w:customStyle="1" w:styleId="Heading2Char">
    <w:name w:val="Heading 2 Char"/>
    <w:basedOn w:val="DefaultParagraphFont"/>
    <w:link w:val="Heading2"/>
    <w:rsid w:val="003625D6"/>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1A6A7F"/>
    <w:rPr>
      <w:rFonts w:ascii="Times New Roman" w:eastAsia="Times New Roman" w:hAnsi="Times New Roman" w:cs="Times New Roman"/>
      <w:b/>
      <w:sz w:val="24"/>
      <w:szCs w:val="20"/>
    </w:rPr>
  </w:style>
  <w:style w:type="paragraph" w:styleId="NoSpacing">
    <w:name w:val="No Spacing"/>
    <w:uiPriority w:val="1"/>
    <w:qFormat/>
    <w:rsid w:val="001A6A7F"/>
    <w:pPr>
      <w:spacing w:after="0" w:line="240" w:lineRule="auto"/>
    </w:pPr>
  </w:style>
  <w:style w:type="paragraph" w:styleId="Header">
    <w:name w:val="header"/>
    <w:basedOn w:val="Normal"/>
    <w:link w:val="HeaderChar"/>
    <w:uiPriority w:val="99"/>
    <w:unhideWhenUsed/>
    <w:rsid w:val="002C5804"/>
    <w:pPr>
      <w:tabs>
        <w:tab w:val="center" w:pos="4680"/>
        <w:tab w:val="right" w:pos="9360"/>
      </w:tabs>
    </w:pPr>
  </w:style>
  <w:style w:type="character" w:customStyle="1" w:styleId="HeaderChar">
    <w:name w:val="Header Char"/>
    <w:basedOn w:val="DefaultParagraphFont"/>
    <w:link w:val="Header"/>
    <w:uiPriority w:val="99"/>
    <w:rsid w:val="002C5804"/>
    <w:rPr>
      <w:rFonts w:ascii="Times New Roman" w:eastAsia="Times New Roman" w:hAnsi="Times New Roman" w:cs="Times New Roman"/>
      <w:lang w:bidi="en-US"/>
    </w:rPr>
  </w:style>
  <w:style w:type="paragraph" w:styleId="Footer">
    <w:name w:val="footer"/>
    <w:basedOn w:val="Normal"/>
    <w:link w:val="FooterChar"/>
    <w:uiPriority w:val="99"/>
    <w:unhideWhenUsed/>
    <w:rsid w:val="002C5804"/>
    <w:pPr>
      <w:tabs>
        <w:tab w:val="center" w:pos="4680"/>
        <w:tab w:val="right" w:pos="9360"/>
      </w:tabs>
    </w:pPr>
  </w:style>
  <w:style w:type="character" w:customStyle="1" w:styleId="FooterChar">
    <w:name w:val="Footer Char"/>
    <w:basedOn w:val="DefaultParagraphFont"/>
    <w:link w:val="Footer"/>
    <w:uiPriority w:val="99"/>
    <w:rsid w:val="002C5804"/>
    <w:rPr>
      <w:rFonts w:ascii="Times New Roman" w:eastAsia="Times New Roman" w:hAnsi="Times New Roman" w:cs="Times New Roman"/>
      <w:lang w:bidi="en-US"/>
    </w:rPr>
  </w:style>
  <w:style w:type="table" w:styleId="TableGrid">
    <w:name w:val="Table Grid"/>
    <w:basedOn w:val="TableNormal"/>
    <w:uiPriority w:val="39"/>
    <w:rsid w:val="001B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234"/>
    <w:rPr>
      <w:color w:val="0563C1" w:themeColor="hyperlink"/>
      <w:u w:val="single"/>
    </w:rPr>
  </w:style>
  <w:style w:type="character" w:styleId="UnresolvedMention">
    <w:name w:val="Unresolved Mention"/>
    <w:basedOn w:val="DefaultParagraphFont"/>
    <w:uiPriority w:val="99"/>
    <w:semiHidden/>
    <w:unhideWhenUsed/>
    <w:rsid w:val="00D76234"/>
    <w:rPr>
      <w:color w:val="605E5C"/>
      <w:shd w:val="clear" w:color="auto" w:fill="E1DFDD"/>
    </w:rPr>
  </w:style>
  <w:style w:type="paragraph" w:styleId="Title">
    <w:name w:val="Title"/>
    <w:basedOn w:val="Heading2"/>
    <w:next w:val="Normal"/>
    <w:link w:val="TitleChar"/>
    <w:uiPriority w:val="10"/>
    <w:qFormat/>
    <w:rsid w:val="003625D6"/>
    <w:rPr>
      <w:sz w:val="48"/>
      <w:szCs w:val="56"/>
    </w:rPr>
  </w:style>
  <w:style w:type="character" w:customStyle="1" w:styleId="TitleChar">
    <w:name w:val="Title Char"/>
    <w:basedOn w:val="DefaultParagraphFont"/>
    <w:link w:val="Title"/>
    <w:uiPriority w:val="10"/>
    <w:rsid w:val="003625D6"/>
    <w:rPr>
      <w:rFonts w:ascii="Times New Roman" w:eastAsia="Times New Roman" w:hAnsi="Times New Roman" w:cs="Times New Roman"/>
      <w:b/>
      <w:sz w:val="48"/>
      <w:szCs w:val="56"/>
    </w:rPr>
  </w:style>
  <w:style w:type="paragraph" w:styleId="NormalWeb">
    <w:name w:val="Normal (Web)"/>
    <w:basedOn w:val="Normal"/>
    <w:uiPriority w:val="99"/>
    <w:unhideWhenUsed/>
    <w:rsid w:val="006662EA"/>
    <w:pPr>
      <w:widowControl/>
      <w:autoSpaceDE/>
      <w:autoSpaceDN/>
      <w:spacing w:before="100" w:beforeAutospacing="1" w:after="100" w:afterAutospacing="1"/>
    </w:pPr>
    <w:rPr>
      <w:sz w:val="24"/>
      <w:szCs w:val="24"/>
      <w:lang w:bidi="ar-SA"/>
    </w:rPr>
  </w:style>
  <w:style w:type="character" w:customStyle="1" w:styleId="Heading1Char">
    <w:name w:val="Heading 1 Char"/>
    <w:basedOn w:val="DefaultParagraphFont"/>
    <w:link w:val="Heading1"/>
    <w:uiPriority w:val="9"/>
    <w:rsid w:val="003A28C2"/>
    <w:rPr>
      <w:rFonts w:ascii="Times New Roman" w:eastAsia="Times New Roman" w:hAnsi="Times New Roman" w:cs="Times New Roman"/>
      <w:b/>
      <w:sz w:val="48"/>
      <w:szCs w:val="56"/>
    </w:rPr>
  </w:style>
  <w:style w:type="character" w:styleId="Strong">
    <w:name w:val="Strong"/>
    <w:basedOn w:val="DefaultParagraphFont"/>
    <w:uiPriority w:val="22"/>
    <w:qFormat/>
    <w:rsid w:val="00C54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7974">
      <w:bodyDiv w:val="1"/>
      <w:marLeft w:val="0"/>
      <w:marRight w:val="0"/>
      <w:marTop w:val="0"/>
      <w:marBottom w:val="0"/>
      <w:divBdr>
        <w:top w:val="none" w:sz="0" w:space="0" w:color="auto"/>
        <w:left w:val="none" w:sz="0" w:space="0" w:color="auto"/>
        <w:bottom w:val="none" w:sz="0" w:space="0" w:color="auto"/>
        <w:right w:val="none" w:sz="0" w:space="0" w:color="auto"/>
      </w:divBdr>
    </w:div>
    <w:div w:id="471287120">
      <w:bodyDiv w:val="1"/>
      <w:marLeft w:val="0"/>
      <w:marRight w:val="0"/>
      <w:marTop w:val="0"/>
      <w:marBottom w:val="0"/>
      <w:divBdr>
        <w:top w:val="none" w:sz="0" w:space="0" w:color="auto"/>
        <w:left w:val="none" w:sz="0" w:space="0" w:color="auto"/>
        <w:bottom w:val="none" w:sz="0" w:space="0" w:color="auto"/>
        <w:right w:val="none" w:sz="0" w:space="0" w:color="auto"/>
      </w:divBdr>
    </w:div>
    <w:div w:id="617880988">
      <w:bodyDiv w:val="1"/>
      <w:marLeft w:val="0"/>
      <w:marRight w:val="0"/>
      <w:marTop w:val="0"/>
      <w:marBottom w:val="0"/>
      <w:divBdr>
        <w:top w:val="none" w:sz="0" w:space="0" w:color="auto"/>
        <w:left w:val="none" w:sz="0" w:space="0" w:color="auto"/>
        <w:bottom w:val="none" w:sz="0" w:space="0" w:color="auto"/>
        <w:right w:val="none" w:sz="0" w:space="0" w:color="auto"/>
      </w:divBdr>
    </w:div>
    <w:div w:id="687407191">
      <w:bodyDiv w:val="1"/>
      <w:marLeft w:val="0"/>
      <w:marRight w:val="0"/>
      <w:marTop w:val="0"/>
      <w:marBottom w:val="0"/>
      <w:divBdr>
        <w:top w:val="none" w:sz="0" w:space="0" w:color="auto"/>
        <w:left w:val="none" w:sz="0" w:space="0" w:color="auto"/>
        <w:bottom w:val="none" w:sz="0" w:space="0" w:color="auto"/>
        <w:right w:val="none" w:sz="0" w:space="0" w:color="auto"/>
      </w:divBdr>
    </w:div>
    <w:div w:id="735469906">
      <w:bodyDiv w:val="1"/>
      <w:marLeft w:val="0"/>
      <w:marRight w:val="0"/>
      <w:marTop w:val="0"/>
      <w:marBottom w:val="0"/>
      <w:divBdr>
        <w:top w:val="none" w:sz="0" w:space="0" w:color="auto"/>
        <w:left w:val="none" w:sz="0" w:space="0" w:color="auto"/>
        <w:bottom w:val="none" w:sz="0" w:space="0" w:color="auto"/>
        <w:right w:val="none" w:sz="0" w:space="0" w:color="auto"/>
      </w:divBdr>
    </w:div>
    <w:div w:id="749548230">
      <w:bodyDiv w:val="1"/>
      <w:marLeft w:val="0"/>
      <w:marRight w:val="0"/>
      <w:marTop w:val="0"/>
      <w:marBottom w:val="0"/>
      <w:divBdr>
        <w:top w:val="none" w:sz="0" w:space="0" w:color="auto"/>
        <w:left w:val="none" w:sz="0" w:space="0" w:color="auto"/>
        <w:bottom w:val="none" w:sz="0" w:space="0" w:color="auto"/>
        <w:right w:val="none" w:sz="0" w:space="0" w:color="auto"/>
      </w:divBdr>
    </w:div>
    <w:div w:id="991829863">
      <w:bodyDiv w:val="1"/>
      <w:marLeft w:val="0"/>
      <w:marRight w:val="0"/>
      <w:marTop w:val="0"/>
      <w:marBottom w:val="0"/>
      <w:divBdr>
        <w:top w:val="none" w:sz="0" w:space="0" w:color="auto"/>
        <w:left w:val="none" w:sz="0" w:space="0" w:color="auto"/>
        <w:bottom w:val="none" w:sz="0" w:space="0" w:color="auto"/>
        <w:right w:val="none" w:sz="0" w:space="0" w:color="auto"/>
      </w:divBdr>
    </w:div>
    <w:div w:id="1147239507">
      <w:bodyDiv w:val="1"/>
      <w:marLeft w:val="0"/>
      <w:marRight w:val="0"/>
      <w:marTop w:val="0"/>
      <w:marBottom w:val="0"/>
      <w:divBdr>
        <w:top w:val="none" w:sz="0" w:space="0" w:color="auto"/>
        <w:left w:val="none" w:sz="0" w:space="0" w:color="auto"/>
        <w:bottom w:val="none" w:sz="0" w:space="0" w:color="auto"/>
        <w:right w:val="none" w:sz="0" w:space="0" w:color="auto"/>
      </w:divBdr>
    </w:div>
    <w:div w:id="1351569419">
      <w:bodyDiv w:val="1"/>
      <w:marLeft w:val="0"/>
      <w:marRight w:val="0"/>
      <w:marTop w:val="0"/>
      <w:marBottom w:val="0"/>
      <w:divBdr>
        <w:top w:val="none" w:sz="0" w:space="0" w:color="auto"/>
        <w:left w:val="none" w:sz="0" w:space="0" w:color="auto"/>
        <w:bottom w:val="none" w:sz="0" w:space="0" w:color="auto"/>
        <w:right w:val="none" w:sz="0" w:space="0" w:color="auto"/>
      </w:divBdr>
    </w:div>
    <w:div w:id="1456018079">
      <w:bodyDiv w:val="1"/>
      <w:marLeft w:val="0"/>
      <w:marRight w:val="0"/>
      <w:marTop w:val="0"/>
      <w:marBottom w:val="0"/>
      <w:divBdr>
        <w:top w:val="none" w:sz="0" w:space="0" w:color="auto"/>
        <w:left w:val="none" w:sz="0" w:space="0" w:color="auto"/>
        <w:bottom w:val="none" w:sz="0" w:space="0" w:color="auto"/>
        <w:right w:val="none" w:sz="0" w:space="0" w:color="auto"/>
      </w:divBdr>
    </w:div>
    <w:div w:id="1533374439">
      <w:bodyDiv w:val="1"/>
      <w:marLeft w:val="0"/>
      <w:marRight w:val="0"/>
      <w:marTop w:val="0"/>
      <w:marBottom w:val="0"/>
      <w:divBdr>
        <w:top w:val="none" w:sz="0" w:space="0" w:color="auto"/>
        <w:left w:val="none" w:sz="0" w:space="0" w:color="auto"/>
        <w:bottom w:val="none" w:sz="0" w:space="0" w:color="auto"/>
        <w:right w:val="none" w:sz="0" w:space="0" w:color="auto"/>
      </w:divBdr>
    </w:div>
    <w:div w:id="1551385528">
      <w:bodyDiv w:val="1"/>
      <w:marLeft w:val="0"/>
      <w:marRight w:val="0"/>
      <w:marTop w:val="0"/>
      <w:marBottom w:val="0"/>
      <w:divBdr>
        <w:top w:val="none" w:sz="0" w:space="0" w:color="auto"/>
        <w:left w:val="none" w:sz="0" w:space="0" w:color="auto"/>
        <w:bottom w:val="none" w:sz="0" w:space="0" w:color="auto"/>
        <w:right w:val="none" w:sz="0" w:space="0" w:color="auto"/>
      </w:divBdr>
    </w:div>
    <w:div w:id="1622148635">
      <w:bodyDiv w:val="1"/>
      <w:marLeft w:val="0"/>
      <w:marRight w:val="0"/>
      <w:marTop w:val="0"/>
      <w:marBottom w:val="0"/>
      <w:divBdr>
        <w:top w:val="none" w:sz="0" w:space="0" w:color="auto"/>
        <w:left w:val="none" w:sz="0" w:space="0" w:color="auto"/>
        <w:bottom w:val="none" w:sz="0" w:space="0" w:color="auto"/>
        <w:right w:val="none" w:sz="0" w:space="0" w:color="auto"/>
      </w:divBdr>
    </w:div>
    <w:div w:id="1658922914">
      <w:bodyDiv w:val="1"/>
      <w:marLeft w:val="0"/>
      <w:marRight w:val="0"/>
      <w:marTop w:val="0"/>
      <w:marBottom w:val="0"/>
      <w:divBdr>
        <w:top w:val="none" w:sz="0" w:space="0" w:color="auto"/>
        <w:left w:val="none" w:sz="0" w:space="0" w:color="auto"/>
        <w:bottom w:val="none" w:sz="0" w:space="0" w:color="auto"/>
        <w:right w:val="none" w:sz="0" w:space="0" w:color="auto"/>
      </w:divBdr>
    </w:div>
    <w:div w:id="20716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abq.gov/seal/COA_logo_line_3_PC.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1097</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Rocha, Cristobal</cp:lastModifiedBy>
  <cp:revision>4</cp:revision>
  <cp:lastPrinted>2026-07-07T17:44:00Z</cp:lastPrinted>
  <dcterms:created xsi:type="dcterms:W3CDTF">2026-07-07T00:27:00Z</dcterms:created>
  <dcterms:modified xsi:type="dcterms:W3CDTF">2026-07-10T18:59:00Z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a03db3eaeaa49702a42d471986d35e3a3136e29ce257a957a2971cfd440b5f64</vt:lpwstr>
  </property>
</Properties>
</file>